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BCC38" w14:textId="7ACB0EEF" w:rsidR="006E7181" w:rsidRPr="006E7181" w:rsidRDefault="000F791D" w:rsidP="006E7181">
      <w:pPr>
        <w:pStyle w:val="Heading3"/>
        <w:jc w:val="center"/>
        <w:rPr>
          <w:color w:val="000000" w:themeColor="text1"/>
        </w:rPr>
      </w:pPr>
      <w:r>
        <w:rPr>
          <w:color w:val="000000" w:themeColor="text1"/>
        </w:rPr>
        <w:t>Lumbar</w:t>
      </w:r>
      <w:r w:rsidR="006E7181" w:rsidRPr="006E7181">
        <w:rPr>
          <w:color w:val="000000" w:themeColor="text1"/>
        </w:rPr>
        <w:t xml:space="preserve"> S</w:t>
      </w:r>
      <w:r w:rsidR="006E7181">
        <w:rPr>
          <w:color w:val="000000" w:themeColor="text1"/>
        </w:rPr>
        <w:t>elective Nerve Root Block (SNRB)</w:t>
      </w:r>
    </w:p>
    <w:p w14:paraId="30328D5E" w14:textId="6DCCF9E7" w:rsidR="000F791D" w:rsidRPr="000F791D" w:rsidRDefault="006E7181" w:rsidP="000F791D">
      <w:pPr>
        <w:jc w:val="center"/>
        <w:rPr>
          <w:sz w:val="28"/>
          <w:szCs w:val="28"/>
        </w:rPr>
      </w:pPr>
      <w:r>
        <w:rPr>
          <w:color w:val="000000" w:themeColor="text1"/>
          <w:sz w:val="28"/>
          <w:szCs w:val="28"/>
        </w:rPr>
        <w:t>CONSEN</w:t>
      </w:r>
      <w:r w:rsidR="000F791D">
        <w:rPr>
          <w:color w:val="000000" w:themeColor="text1"/>
          <w:sz w:val="28"/>
          <w:szCs w:val="28"/>
        </w:rPr>
        <w:t>T</w:t>
      </w:r>
    </w:p>
    <w:p w14:paraId="642418CC" w14:textId="77777777" w:rsidR="00E725E8" w:rsidRDefault="000F791D" w:rsidP="00E725E8">
      <w:pPr>
        <w:spacing w:after="200" w:line="301" w:lineRule="auto"/>
        <w:rPr>
          <w:rFonts w:ascii="Times New Roman" w:eastAsia="Times New Roman" w:hAnsi="Times New Roman" w:cs="Times New Roman"/>
          <w:b/>
          <w:sz w:val="24"/>
          <w:szCs w:val="24"/>
        </w:rPr>
      </w:pPr>
      <w:r>
        <w:br/>
        <w:t>This document outlines the risks and potential complication rates associated with lumbar selective nerve root block (SNRB). The following information is based on recent evidence from prospective and retrospective cohort studies, systematic reviews, and society guidelines.</w:t>
      </w:r>
      <w:r>
        <w:br/>
      </w:r>
      <w:r>
        <w:br/>
      </w:r>
      <w:r>
        <w:rPr>
          <w:rStyle w:val="Strong"/>
        </w:rPr>
        <w:t>Common Risks and Estimated Incidence:</w:t>
      </w:r>
      <w:r>
        <w:br/>
      </w:r>
      <w:r>
        <w:br/>
        <w:t>- Any complication: 5–17% (includes both minor and major complications)</w:t>
      </w:r>
      <w:hyperlink r:id="rId7" w:history="1">
        <w:r>
          <w:rPr>
            <w:rStyle w:val="Hyperlink"/>
          </w:rPr>
          <w:t>[1]</w:t>
        </w:r>
      </w:hyperlink>
      <w:hyperlink r:id="rId8" w:history="1">
        <w:r>
          <w:rPr>
            <w:rStyle w:val="Hyperlink"/>
          </w:rPr>
          <w:t>[2]</w:t>
        </w:r>
      </w:hyperlink>
      <w:r>
        <w:br/>
      </w:r>
      <w:r>
        <w:br/>
        <w:t>- Increased pain at the injection site: 17.1%</w:t>
      </w:r>
      <w:hyperlink r:id="rId9" w:history="1">
        <w:r>
          <w:rPr>
            <w:rStyle w:val="Hyperlink"/>
          </w:rPr>
          <w:t>[1]</w:t>
        </w:r>
      </w:hyperlink>
      <w:r>
        <w:br/>
      </w:r>
      <w:r>
        <w:br/>
        <w:t>- Increased radicular pain: 8.8%</w:t>
      </w:r>
      <w:hyperlink r:id="rId10" w:history="1">
        <w:r>
          <w:rPr>
            <w:rStyle w:val="Hyperlink"/>
          </w:rPr>
          <w:t>[1]</w:t>
        </w:r>
      </w:hyperlink>
      <w:r>
        <w:br/>
      </w:r>
      <w:r>
        <w:br/>
        <w:t>- Lightheadedness or vasovagal reaction: 6.5%</w:t>
      </w:r>
      <w:hyperlink r:id="rId11" w:history="1">
        <w:r>
          <w:rPr>
            <w:rStyle w:val="Hyperlink"/>
          </w:rPr>
          <w:t>[1]</w:t>
        </w:r>
      </w:hyperlink>
      <w:r>
        <w:br/>
      </w:r>
      <w:r>
        <w:br/>
        <w:t>- Increased spine pain: 5.1%</w:t>
      </w:r>
      <w:hyperlink r:id="rId12" w:history="1">
        <w:r>
          <w:rPr>
            <w:rStyle w:val="Hyperlink"/>
          </w:rPr>
          <w:t>[1]</w:t>
        </w:r>
      </w:hyperlink>
      <w:r>
        <w:br/>
      </w:r>
      <w:r>
        <w:br/>
        <w:t>- Nausea: 3.7%</w:t>
      </w:r>
      <w:hyperlink r:id="rId13" w:history="1">
        <w:r>
          <w:rPr>
            <w:rStyle w:val="Hyperlink"/>
          </w:rPr>
          <w:t>[1]</w:t>
        </w:r>
      </w:hyperlink>
      <w:r>
        <w:br/>
      </w:r>
      <w:r>
        <w:br/>
        <w:t>- Nonspecific headache: 1.4%</w:t>
      </w:r>
      <w:hyperlink r:id="rId14" w:history="1">
        <w:r>
          <w:rPr>
            <w:rStyle w:val="Hyperlink"/>
          </w:rPr>
          <w:t>[1]</w:t>
        </w:r>
      </w:hyperlink>
      <w:r>
        <w:br/>
      </w:r>
      <w:r>
        <w:br/>
        <w:t>- Vomiting: 0.5%</w:t>
      </w:r>
      <w:hyperlink r:id="rId15" w:history="1">
        <w:r>
          <w:rPr>
            <w:rStyle w:val="Hyperlink"/>
          </w:rPr>
          <w:t>[1]</w:t>
        </w:r>
      </w:hyperlink>
      <w:r>
        <w:br/>
      </w:r>
      <w:r>
        <w:br/>
        <w:t>- Minor complications (e.g., transient sensory symptoms, soreness, dizziness): 0–6%</w:t>
      </w:r>
      <w:hyperlink r:id="rId16" w:history="1">
        <w:r>
          <w:rPr>
            <w:rStyle w:val="Hyperlink"/>
          </w:rPr>
          <w:t>[3]</w:t>
        </w:r>
      </w:hyperlink>
      <w:hyperlink r:id="rId17" w:history="1">
        <w:r>
          <w:rPr>
            <w:rStyle w:val="Hyperlink"/>
          </w:rPr>
          <w:t>[2]</w:t>
        </w:r>
      </w:hyperlink>
      <w:hyperlink r:id="rId18" w:history="1">
        <w:r>
          <w:rPr>
            <w:rStyle w:val="Hyperlink"/>
          </w:rPr>
          <w:t>[4]</w:t>
        </w:r>
      </w:hyperlink>
      <w:r>
        <w:br/>
      </w:r>
      <w:r>
        <w:br/>
        <w:t>- Minor bleeding or hematoma at the injection site: rare (&lt;1%)</w:t>
      </w:r>
      <w:hyperlink r:id="rId19" w:history="1">
        <w:r>
          <w:rPr>
            <w:rStyle w:val="Hyperlink"/>
          </w:rPr>
          <w:t>[5]</w:t>
        </w:r>
      </w:hyperlink>
      <w:hyperlink r:id="rId20" w:history="1">
        <w:r>
          <w:rPr>
            <w:rStyle w:val="Hyperlink"/>
          </w:rPr>
          <w:t>[2]</w:t>
        </w:r>
      </w:hyperlink>
      <w:r>
        <w:br/>
      </w:r>
      <w:r>
        <w:br/>
        <w:t>- All minor complications are transient and self-limited, with no lasting harm reported in large series.</w:t>
      </w:r>
      <w:hyperlink r:id="rId21" w:history="1">
        <w:r>
          <w:rPr>
            <w:rStyle w:val="Hyperlink"/>
          </w:rPr>
          <w:t>[1]</w:t>
        </w:r>
      </w:hyperlink>
      <w:hyperlink r:id="rId22" w:history="1">
        <w:r>
          <w:rPr>
            <w:rStyle w:val="Hyperlink"/>
          </w:rPr>
          <w:t>[2]</w:t>
        </w:r>
      </w:hyperlink>
      <w:hyperlink r:id="rId23" w:history="1">
        <w:r>
          <w:rPr>
            <w:rStyle w:val="Hyperlink"/>
          </w:rPr>
          <w:t>[4]</w:t>
        </w:r>
      </w:hyperlink>
      <w:r>
        <w:br/>
      </w:r>
      <w:r>
        <w:br/>
      </w:r>
      <w:r>
        <w:rPr>
          <w:rStyle w:val="Strong"/>
        </w:rPr>
        <w:t>Serious or Rare Risks:</w:t>
      </w:r>
      <w:r>
        <w:br/>
      </w:r>
      <w:r>
        <w:br/>
        <w:t>- Infection (epidural abscess, meningitis): exceedingly rare</w:t>
      </w:r>
      <w:hyperlink r:id="rId24" w:history="1">
        <w:r>
          <w:rPr>
            <w:rStyle w:val="Hyperlink"/>
          </w:rPr>
          <w:t>[1]</w:t>
        </w:r>
      </w:hyperlink>
      <w:hyperlink r:id="rId25" w:history="1">
        <w:r>
          <w:rPr>
            <w:rStyle w:val="Hyperlink"/>
          </w:rPr>
          <w:t>[5]</w:t>
        </w:r>
      </w:hyperlink>
      <w:hyperlink r:id="rId26" w:history="1">
        <w:r>
          <w:rPr>
            <w:rStyle w:val="Hyperlink"/>
          </w:rPr>
          <w:t>[3]</w:t>
        </w:r>
      </w:hyperlink>
      <w:hyperlink r:id="rId27" w:history="1">
        <w:r>
          <w:rPr>
            <w:rStyle w:val="Hyperlink"/>
          </w:rPr>
          <w:t>[6]</w:t>
        </w:r>
      </w:hyperlink>
      <w:r>
        <w:br/>
      </w:r>
      <w:r>
        <w:br/>
        <w:t>- Allergic reaction to injectate: rare</w:t>
      </w:r>
      <w:hyperlink r:id="rId28" w:history="1">
        <w:r>
          <w:rPr>
            <w:rStyle w:val="Hyperlink"/>
          </w:rPr>
          <w:t>[1]</w:t>
        </w:r>
      </w:hyperlink>
      <w:hyperlink r:id="rId29" w:history="1">
        <w:r>
          <w:rPr>
            <w:rStyle w:val="Hyperlink"/>
          </w:rPr>
          <w:t>[5]</w:t>
        </w:r>
      </w:hyperlink>
      <w:r>
        <w:br/>
      </w:r>
      <w:r>
        <w:br/>
        <w:t xml:space="preserve">- Neurological injury (nerve root irritation, transient or persistent deficit): extremely rare, with </w:t>
      </w:r>
      <w:r>
        <w:lastRenderedPageBreak/>
        <w:t>nerve root irritation reported in 0.1% of cases and no long-term deficits in large series</w:t>
      </w:r>
      <w:hyperlink r:id="rId30" w:history="1">
        <w:r>
          <w:rPr>
            <w:rStyle w:val="Hyperlink"/>
          </w:rPr>
          <w:t>[5]</w:t>
        </w:r>
      </w:hyperlink>
      <w:r>
        <w:br/>
      </w:r>
      <w:r>
        <w:br/>
        <w:t>- Vascular injury or inadvertent intravascular injection: risk of vascular penetration varies from 3.6% to 20% depending on technique; major vascular complications are rare</w:t>
      </w:r>
      <w:hyperlink r:id="rId31" w:history="1">
        <w:r>
          <w:rPr>
            <w:rStyle w:val="Hyperlink"/>
          </w:rPr>
          <w:t>[5]</w:t>
        </w:r>
      </w:hyperlink>
      <w:r>
        <w:br/>
      </w:r>
      <w:r>
        <w:br/>
        <w:t>- Catastrophic complications (spinal cord infarction, paraplegia): extremely rare, typically related to inadvertent intra-arterial injection of particulate steroid; no such events reported in large prospective series</w:t>
      </w:r>
      <w:hyperlink r:id="rId32" w:history="1">
        <w:r>
          <w:rPr>
            <w:rStyle w:val="Hyperlink"/>
          </w:rPr>
          <w:t>[1]</w:t>
        </w:r>
      </w:hyperlink>
      <w:hyperlink r:id="rId33" w:history="1">
        <w:r>
          <w:rPr>
            <w:rStyle w:val="Hyperlink"/>
          </w:rPr>
          <w:t>[5]</w:t>
        </w:r>
      </w:hyperlink>
      <w:hyperlink r:id="rId34" w:history="1">
        <w:r>
          <w:rPr>
            <w:rStyle w:val="Hyperlink"/>
          </w:rPr>
          <w:t>[3]</w:t>
        </w:r>
      </w:hyperlink>
      <w:hyperlink r:id="rId35" w:history="1">
        <w:r>
          <w:rPr>
            <w:rStyle w:val="Hyperlink"/>
          </w:rPr>
          <w:t>[2]</w:t>
        </w:r>
      </w:hyperlink>
      <w:hyperlink r:id="rId36" w:history="1">
        <w:r>
          <w:rPr>
            <w:rStyle w:val="Hyperlink"/>
          </w:rPr>
          <w:t>[6]</w:t>
        </w:r>
      </w:hyperlink>
      <w:hyperlink r:id="rId37" w:history="1">
        <w:r>
          <w:rPr>
            <w:rStyle w:val="Hyperlink"/>
          </w:rPr>
          <w:t>[7]</w:t>
        </w:r>
      </w:hyperlink>
      <w:r>
        <w:br/>
      </w:r>
      <w:r>
        <w:br/>
        <w:t>- Hematoma requiring evacuation: rare (&lt;1%)</w:t>
      </w:r>
      <w:hyperlink r:id="rId38" w:history="1">
        <w:r>
          <w:rPr>
            <w:rStyle w:val="Hyperlink"/>
          </w:rPr>
          <w:t>[5]</w:t>
        </w:r>
      </w:hyperlink>
      <w:hyperlink r:id="rId39" w:history="1">
        <w:r>
          <w:rPr>
            <w:rStyle w:val="Hyperlink"/>
          </w:rPr>
          <w:t>[2]</w:t>
        </w:r>
      </w:hyperlink>
      <w:r>
        <w:br/>
      </w:r>
      <w:r>
        <w:br/>
        <w:t>- Permanent neurological deficit: not reported in large series</w:t>
      </w:r>
      <w:hyperlink r:id="rId40" w:history="1">
        <w:r>
          <w:rPr>
            <w:rStyle w:val="Hyperlink"/>
          </w:rPr>
          <w:t>[1]</w:t>
        </w:r>
      </w:hyperlink>
      <w:hyperlink r:id="rId41" w:history="1">
        <w:r>
          <w:rPr>
            <w:rStyle w:val="Hyperlink"/>
          </w:rPr>
          <w:t>[5]</w:t>
        </w:r>
      </w:hyperlink>
      <w:hyperlink r:id="rId42" w:history="1">
        <w:r>
          <w:rPr>
            <w:rStyle w:val="Hyperlink"/>
          </w:rPr>
          <w:t>[2]</w:t>
        </w:r>
      </w:hyperlink>
      <w:hyperlink r:id="rId43" w:history="1">
        <w:r>
          <w:rPr>
            <w:rStyle w:val="Hyperlink"/>
          </w:rPr>
          <w:t>[6]</w:t>
        </w:r>
      </w:hyperlink>
      <w:hyperlink r:id="rId44" w:history="1">
        <w:r>
          <w:rPr>
            <w:rStyle w:val="Hyperlink"/>
          </w:rPr>
          <w:t>[4]</w:t>
        </w:r>
      </w:hyperlink>
      <w:hyperlink r:id="rId45" w:history="1">
        <w:r>
          <w:rPr>
            <w:rStyle w:val="Hyperlink"/>
          </w:rPr>
          <w:t>[7]</w:t>
        </w:r>
      </w:hyperlink>
      <w:r>
        <w:br/>
      </w:r>
      <w:r>
        <w:br/>
      </w:r>
      <w:r>
        <w:rPr>
          <w:rStyle w:val="Strong"/>
        </w:rPr>
        <w:t>Risk Factors for Increased Complications:</w:t>
      </w:r>
      <w:r>
        <w:br/>
      </w:r>
      <w:r>
        <w:br/>
        <w:t>- Advanced age, higher BMI, diabetes, tobacco use, coagulopathy, and multilevel injections are associated with higher complication rates and poorer outcomes.</w:t>
      </w:r>
      <w:hyperlink r:id="rId46" w:history="1">
        <w:r>
          <w:rPr>
            <w:rStyle w:val="Hyperlink"/>
          </w:rPr>
          <w:t>[5]</w:t>
        </w:r>
      </w:hyperlink>
      <w:hyperlink r:id="rId47" w:history="1">
        <w:r>
          <w:rPr>
            <w:rStyle w:val="Hyperlink"/>
          </w:rPr>
          <w:t>[3]</w:t>
        </w:r>
      </w:hyperlink>
      <w:hyperlink r:id="rId48" w:history="1">
        <w:r>
          <w:rPr>
            <w:rStyle w:val="Hyperlink"/>
          </w:rPr>
          <w:t>[6]</w:t>
        </w:r>
      </w:hyperlink>
      <w:r>
        <w:br/>
      </w:r>
      <w:r>
        <w:br/>
      </w:r>
      <w:r>
        <w:rPr>
          <w:rStyle w:val="Strong"/>
        </w:rPr>
        <w:t>Additional Considerations:</w:t>
      </w:r>
      <w:r>
        <w:br/>
      </w:r>
      <w:r>
        <w:br/>
        <w:t>- The majority of complications are minor and resolve without long-term sequelae; permanent deficits are exceedingly rare.</w:t>
      </w:r>
      <w:hyperlink r:id="rId49" w:history="1">
        <w:r>
          <w:rPr>
            <w:rStyle w:val="Hyperlink"/>
          </w:rPr>
          <w:t>[1]</w:t>
        </w:r>
      </w:hyperlink>
      <w:hyperlink r:id="rId50" w:history="1">
        <w:r>
          <w:rPr>
            <w:rStyle w:val="Hyperlink"/>
          </w:rPr>
          <w:t>[5]</w:t>
        </w:r>
      </w:hyperlink>
      <w:hyperlink r:id="rId51" w:history="1">
        <w:r>
          <w:rPr>
            <w:rStyle w:val="Hyperlink"/>
          </w:rPr>
          <w:t>[3]</w:t>
        </w:r>
      </w:hyperlink>
      <w:hyperlink r:id="rId52" w:history="1">
        <w:r>
          <w:rPr>
            <w:rStyle w:val="Hyperlink"/>
          </w:rPr>
          <w:t>[2]</w:t>
        </w:r>
      </w:hyperlink>
      <w:hyperlink r:id="rId53" w:history="1">
        <w:r>
          <w:rPr>
            <w:rStyle w:val="Hyperlink"/>
          </w:rPr>
          <w:t>[6]</w:t>
        </w:r>
      </w:hyperlink>
      <w:hyperlink r:id="rId54" w:history="1">
        <w:r>
          <w:rPr>
            <w:rStyle w:val="Hyperlink"/>
          </w:rPr>
          <w:t>[4]</w:t>
        </w:r>
      </w:hyperlink>
      <w:hyperlink r:id="rId55" w:history="1">
        <w:r>
          <w:rPr>
            <w:rStyle w:val="Hyperlink"/>
          </w:rPr>
          <w:t>[7]</w:t>
        </w:r>
      </w:hyperlink>
      <w:r>
        <w:br/>
      </w:r>
      <w:r>
        <w:br/>
        <w:t>- The overall safety profile of lumbar SNRB is favorable, with a low risk of clinically significant complications.</w:t>
      </w:r>
      <w:hyperlink r:id="rId56" w:history="1">
        <w:r>
          <w:rPr>
            <w:rStyle w:val="Hyperlink"/>
          </w:rPr>
          <w:t>[1]</w:t>
        </w:r>
      </w:hyperlink>
      <w:hyperlink r:id="rId57" w:history="1">
        <w:r>
          <w:rPr>
            <w:rStyle w:val="Hyperlink"/>
          </w:rPr>
          <w:t>[5]</w:t>
        </w:r>
      </w:hyperlink>
      <w:hyperlink r:id="rId58" w:history="1">
        <w:r>
          <w:rPr>
            <w:rStyle w:val="Hyperlink"/>
          </w:rPr>
          <w:t>[3]</w:t>
        </w:r>
      </w:hyperlink>
      <w:hyperlink r:id="rId59" w:history="1">
        <w:r>
          <w:rPr>
            <w:rStyle w:val="Hyperlink"/>
          </w:rPr>
          <w:t>[2]</w:t>
        </w:r>
      </w:hyperlink>
      <w:hyperlink r:id="rId60" w:history="1">
        <w:r>
          <w:rPr>
            <w:rStyle w:val="Hyperlink"/>
          </w:rPr>
          <w:t>[6]</w:t>
        </w:r>
      </w:hyperlink>
      <w:hyperlink r:id="rId61" w:history="1">
        <w:r>
          <w:rPr>
            <w:rStyle w:val="Hyperlink"/>
          </w:rPr>
          <w:t>[4]</w:t>
        </w:r>
      </w:hyperlink>
      <w:hyperlink r:id="rId62" w:history="1">
        <w:r>
          <w:rPr>
            <w:rStyle w:val="Hyperlink"/>
          </w:rPr>
          <w:t>[7]</w:t>
        </w:r>
      </w:hyperlink>
      <w:r>
        <w:br/>
      </w:r>
      <w:r>
        <w:br/>
      </w:r>
      <w:r w:rsidR="00E725E8">
        <w:rPr>
          <w:rFonts w:ascii="Times New Roman" w:eastAsia="Times New Roman" w:hAnsi="Times New Roman" w:cs="Times New Roman"/>
          <w:b/>
          <w:sz w:val="24"/>
          <w:szCs w:val="24"/>
        </w:rPr>
        <w:t>Patient Acknowledgment:</w:t>
      </w:r>
    </w:p>
    <w:p w14:paraId="57D82598" w14:textId="48AAD420" w:rsidR="00E725E8" w:rsidRDefault="00E725E8" w:rsidP="00E725E8">
      <w:pPr>
        <w:spacing w:after="200"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below, the patient acknowledges understanding of the above risks, their estimated incidence, and the potential for both common and rare complications associated with </w:t>
      </w:r>
      <w:r w:rsidR="004448A9">
        <w:rPr>
          <w:rFonts w:ascii="Times New Roman" w:eastAsia="Times New Roman" w:hAnsi="Times New Roman" w:cs="Times New Roman"/>
          <w:sz w:val="24"/>
          <w:szCs w:val="24"/>
        </w:rPr>
        <w:t>Lumbar Selective Nerve Root Block</w:t>
      </w:r>
      <w:r>
        <w:rPr>
          <w:rFonts w:ascii="Times New Roman" w:eastAsia="Times New Roman" w:hAnsi="Times New Roman" w:cs="Times New Roman"/>
          <w:sz w:val="24"/>
          <w:szCs w:val="24"/>
        </w:rPr>
        <w:t>. All questions have been answered to the patient's satisfaction.</w:t>
      </w:r>
    </w:p>
    <w:p w14:paraId="1A27301B" w14:textId="77777777" w:rsidR="00E725E8" w:rsidRDefault="00E725E8" w:rsidP="00E725E8">
      <w:pPr>
        <w:spacing w:after="200" w:line="30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Patient Signature: _________________________</w:t>
      </w:r>
      <w:proofErr w:type="gramStart"/>
      <w:r>
        <w:rPr>
          <w:rFonts w:ascii="Times New Roman" w:eastAsia="Times New Roman" w:hAnsi="Times New Roman" w:cs="Times New Roman"/>
          <w:b/>
          <w:sz w:val="24"/>
          <w:szCs w:val="24"/>
        </w:rPr>
        <w:t>_  Date</w:t>
      </w:r>
      <w:proofErr w:type="gramEnd"/>
      <w:r>
        <w:rPr>
          <w:rFonts w:ascii="Times New Roman" w:eastAsia="Times New Roman" w:hAnsi="Times New Roman" w:cs="Times New Roman"/>
          <w:b/>
          <w:sz w:val="24"/>
          <w:szCs w:val="24"/>
        </w:rPr>
        <w:t>: _________</w:t>
      </w:r>
    </w:p>
    <w:p w14:paraId="6C6D4742" w14:textId="77777777" w:rsidR="00E725E8" w:rsidRDefault="00E725E8" w:rsidP="00E725E8">
      <w:pPr>
        <w:spacing w:after="200" w:line="301"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Patient Name: ____________________________</w:t>
      </w:r>
      <w:proofErr w:type="gramStart"/>
      <w:r>
        <w:rPr>
          <w:rFonts w:ascii="Times New Roman" w:eastAsia="Times New Roman" w:hAnsi="Times New Roman" w:cs="Times New Roman"/>
          <w:b/>
          <w:sz w:val="24"/>
          <w:szCs w:val="24"/>
        </w:rPr>
        <w:t>_  DOB</w:t>
      </w:r>
      <w:proofErr w:type="gramEnd"/>
      <w:r>
        <w:rPr>
          <w:rFonts w:ascii="Times New Roman" w:eastAsia="Times New Roman" w:hAnsi="Times New Roman" w:cs="Times New Roman"/>
          <w:b/>
          <w:sz w:val="24"/>
          <w:szCs w:val="24"/>
        </w:rPr>
        <w:t>:_________</w:t>
      </w:r>
    </w:p>
    <w:p w14:paraId="1E66223F" w14:textId="3753ABCF" w:rsidR="000F791D" w:rsidRDefault="000F791D" w:rsidP="000F791D">
      <w:pPr>
        <w:spacing w:after="240"/>
      </w:pPr>
    </w:p>
    <w:p w14:paraId="4F3C8F39" w14:textId="77777777" w:rsidR="000F791D" w:rsidRDefault="000F791D" w:rsidP="000F791D">
      <w:pPr>
        <w:pStyle w:val="Heading3"/>
      </w:pPr>
      <w:r>
        <w:lastRenderedPageBreak/>
        <w:t>References</w:t>
      </w:r>
    </w:p>
    <w:p w14:paraId="614F4A5B" w14:textId="77777777" w:rsidR="000F791D" w:rsidRDefault="000F791D" w:rsidP="000F791D">
      <w:pPr>
        <w:numPr>
          <w:ilvl w:val="0"/>
          <w:numId w:val="3"/>
        </w:numPr>
        <w:spacing w:before="100" w:beforeAutospacing="1" w:after="100" w:afterAutospacing="1" w:line="240" w:lineRule="auto"/>
      </w:pPr>
      <w:hyperlink r:id="rId63" w:history="1">
        <w:r>
          <w:rPr>
            <w:rStyle w:val="Hyperlink"/>
          </w:rPr>
          <w:t>Complications and Side Effects of Cervical and Lumbosacral Selective Nerve Root Injections</w:t>
        </w:r>
      </w:hyperlink>
      <w:r>
        <w:t xml:space="preserve">. Huston CW, </w:t>
      </w:r>
      <w:proofErr w:type="spellStart"/>
      <w:r>
        <w:t>Slipman</w:t>
      </w:r>
      <w:proofErr w:type="spellEnd"/>
      <w:r>
        <w:t xml:space="preserve"> CW, Garvin C. Archives of Physical Medicine and Rehabilitation. 2005;86(2):277-83. </w:t>
      </w:r>
      <w:proofErr w:type="gramStart"/>
      <w:r>
        <w:t>doi:10.1016/j.apmr</w:t>
      </w:r>
      <w:proofErr w:type="gramEnd"/>
      <w:r>
        <w:t>.2004.02.018.</w:t>
      </w:r>
    </w:p>
    <w:p w14:paraId="39E47E4B" w14:textId="77777777" w:rsidR="000F791D" w:rsidRDefault="000F791D" w:rsidP="000F791D">
      <w:pPr>
        <w:numPr>
          <w:ilvl w:val="0"/>
          <w:numId w:val="3"/>
        </w:numPr>
        <w:spacing w:before="100" w:beforeAutospacing="1" w:after="100" w:afterAutospacing="1" w:line="240" w:lineRule="auto"/>
      </w:pPr>
      <w:hyperlink r:id="rId64" w:history="1">
        <w:r>
          <w:rPr>
            <w:rStyle w:val="Hyperlink"/>
          </w:rPr>
          <w:t>Influence of Needle-Tip Position on the Incidence of Immediate Complications in 2,217 Selective Lumbar Nerve Root Blocks</w:t>
        </w:r>
      </w:hyperlink>
      <w:r>
        <w:t xml:space="preserve">. Stalcup ST, Crall TS, Gilula L, </w:t>
      </w:r>
      <w:proofErr w:type="spellStart"/>
      <w:r>
        <w:t>Riew</w:t>
      </w:r>
      <w:proofErr w:type="spellEnd"/>
      <w:r>
        <w:t xml:space="preserve"> KD. The Spine </w:t>
      </w:r>
      <w:proofErr w:type="gramStart"/>
      <w:r>
        <w:t>Journal :</w:t>
      </w:r>
      <w:proofErr w:type="gramEnd"/>
      <w:r>
        <w:t xml:space="preserve"> Official Journal of the North American Spine Society. 2006 Mar-Apr;6(2):170-6. </w:t>
      </w:r>
      <w:proofErr w:type="gramStart"/>
      <w:r>
        <w:t>doi:10.1016/j.spinee</w:t>
      </w:r>
      <w:proofErr w:type="gramEnd"/>
      <w:r>
        <w:t>.2005.08.009.</w:t>
      </w:r>
    </w:p>
    <w:p w14:paraId="0DCDD90B" w14:textId="77777777" w:rsidR="000F791D" w:rsidRDefault="000F791D" w:rsidP="000F791D">
      <w:pPr>
        <w:numPr>
          <w:ilvl w:val="0"/>
          <w:numId w:val="3"/>
        </w:numPr>
        <w:spacing w:before="100" w:beforeAutospacing="1" w:after="100" w:afterAutospacing="1" w:line="240" w:lineRule="auto"/>
      </w:pPr>
      <w:hyperlink r:id="rId65" w:history="1">
        <w:r>
          <w:rPr>
            <w:rStyle w:val="Hyperlink"/>
          </w:rPr>
          <w:t>The Diagnostic Utility and Cost-Effectiveness of Selective Nerve Root Blocks in Patients Considered for Lumbar Decompression Surgery: A Systematic Review and Economic Model</w:t>
        </w:r>
      </w:hyperlink>
      <w:r>
        <w:t>. Beynon R, Hawkins J, Laing R, et al. Health Technology Assessment (Winchester, England). 2013;17(19):1-88, v-vi. doi:10.3310/hta17190.</w:t>
      </w:r>
    </w:p>
    <w:p w14:paraId="2D0C2DA6" w14:textId="77777777" w:rsidR="000F791D" w:rsidRDefault="000F791D" w:rsidP="000F791D">
      <w:pPr>
        <w:numPr>
          <w:ilvl w:val="0"/>
          <w:numId w:val="3"/>
        </w:numPr>
        <w:spacing w:before="100" w:beforeAutospacing="1" w:after="100" w:afterAutospacing="1" w:line="240" w:lineRule="auto"/>
      </w:pPr>
      <w:hyperlink r:id="rId66" w:history="1">
        <w:r>
          <w:rPr>
            <w:rStyle w:val="Hyperlink"/>
          </w:rPr>
          <w:t>Ultrasound-Guided Versus Fluoroscopy-Guided Lumbar Selective Nerve Root Block: A Retrospective Comparative Study</w:t>
        </w:r>
      </w:hyperlink>
      <w:r>
        <w:t>. Wang B, Sun Y, Zhang J, et al. Scientific Reports. 2024;14(1):3235. doi:10.1038/s41598-024-53809-3.</w:t>
      </w:r>
    </w:p>
    <w:p w14:paraId="47400B0D" w14:textId="77777777" w:rsidR="000F791D" w:rsidRDefault="000F791D" w:rsidP="000F791D">
      <w:pPr>
        <w:numPr>
          <w:ilvl w:val="0"/>
          <w:numId w:val="3"/>
        </w:numPr>
        <w:spacing w:before="100" w:beforeAutospacing="1" w:after="100" w:afterAutospacing="1" w:line="240" w:lineRule="auto"/>
      </w:pPr>
      <w:hyperlink r:id="rId67" w:history="1">
        <w:r>
          <w:rPr>
            <w:rStyle w:val="Hyperlink"/>
          </w:rPr>
          <w:t>The American Society of Pain and Neuroscience (ASPN) Evidence-Based Clinical Guideline of Interventional Treatments for Low Back Pain</w:t>
        </w:r>
      </w:hyperlink>
      <w:r>
        <w:t xml:space="preserve">. Sayed D, Grider J, Strand N, et al. Journal of Pain Research. </w:t>
      </w:r>
      <w:proofErr w:type="gramStart"/>
      <w:r>
        <w:t>2022;15:3729</w:t>
      </w:r>
      <w:proofErr w:type="gramEnd"/>
      <w:r>
        <w:t>-3832. doi:10.2147/JPR.S386879.</w:t>
      </w:r>
    </w:p>
    <w:p w14:paraId="7EF4D214" w14:textId="77777777" w:rsidR="000F791D" w:rsidRDefault="000F791D" w:rsidP="000F791D">
      <w:pPr>
        <w:numPr>
          <w:ilvl w:val="0"/>
          <w:numId w:val="3"/>
        </w:numPr>
        <w:spacing w:before="100" w:beforeAutospacing="1" w:after="100" w:afterAutospacing="1" w:line="240" w:lineRule="auto"/>
      </w:pPr>
      <w:hyperlink r:id="rId68" w:history="1">
        <w:r>
          <w:rPr>
            <w:rStyle w:val="Hyperlink"/>
          </w:rPr>
          <w:t xml:space="preserve">The Utility of Diagnostic Selective Nerve Root Blocks in the Management of Patients </w:t>
        </w:r>
        <w:proofErr w:type="gramStart"/>
        <w:r>
          <w:rPr>
            <w:rStyle w:val="Hyperlink"/>
          </w:rPr>
          <w:t>With</w:t>
        </w:r>
        <w:proofErr w:type="gramEnd"/>
        <w:r>
          <w:rPr>
            <w:rStyle w:val="Hyperlink"/>
          </w:rPr>
          <w:t xml:space="preserve"> Lumbar Radiculopathy: A Systematic Review</w:t>
        </w:r>
      </w:hyperlink>
      <w:r>
        <w:t xml:space="preserve">. Beynon R, </w:t>
      </w:r>
      <w:proofErr w:type="spellStart"/>
      <w:r>
        <w:t>Elwenspoek</w:t>
      </w:r>
      <w:proofErr w:type="spellEnd"/>
      <w:r>
        <w:t xml:space="preserve"> MMC, Sheppard A, et al. BMJ Open. 2019;9(4</w:t>
      </w:r>
      <w:proofErr w:type="gramStart"/>
      <w:r>
        <w:t>):e</w:t>
      </w:r>
      <w:proofErr w:type="gramEnd"/>
      <w:r>
        <w:t>025790. doi:10.1136/bmjopen-2018-025790.</w:t>
      </w:r>
    </w:p>
    <w:p w14:paraId="112C39BC" w14:textId="77777777" w:rsidR="000F791D" w:rsidRDefault="000F791D" w:rsidP="000F791D">
      <w:pPr>
        <w:numPr>
          <w:ilvl w:val="0"/>
          <w:numId w:val="3"/>
        </w:numPr>
        <w:spacing w:before="100" w:beforeAutospacing="1" w:after="100" w:afterAutospacing="1" w:line="240" w:lineRule="auto"/>
      </w:pPr>
      <w:hyperlink r:id="rId69" w:history="1">
        <w:r>
          <w:rPr>
            <w:rStyle w:val="Hyperlink"/>
          </w:rPr>
          <w:t>A Critical Appraisal of the Evidence for Selective Nerve Root Injection in the Treatment of Lumbosacral Radiculopathy</w:t>
        </w:r>
      </w:hyperlink>
      <w:r>
        <w:t xml:space="preserve">. DePalma MJ, Bhargava A, </w:t>
      </w:r>
      <w:proofErr w:type="spellStart"/>
      <w:r>
        <w:t>Slipman</w:t>
      </w:r>
      <w:proofErr w:type="spellEnd"/>
      <w:r>
        <w:t xml:space="preserve"> CW. Archives of Physical Medicine and Rehabilitation. 2005;86(7):1477-83. </w:t>
      </w:r>
      <w:proofErr w:type="gramStart"/>
      <w:r>
        <w:t>doi:10.1016/j.apmr</w:t>
      </w:r>
      <w:proofErr w:type="gramEnd"/>
      <w:r>
        <w:t>.2005.01.006.</w:t>
      </w:r>
    </w:p>
    <w:p w14:paraId="4BFCAB41" w14:textId="68AFAD7F" w:rsidR="00560473" w:rsidRDefault="00560473" w:rsidP="000F791D">
      <w:pPr>
        <w:spacing w:after="240"/>
        <w:rPr>
          <w:rFonts w:ascii="Times New Roman" w:eastAsia="Times New Roman" w:hAnsi="Times New Roman" w:cs="Times New Roman"/>
          <w:color w:val="0E0E0E"/>
          <w:sz w:val="24"/>
          <w:szCs w:val="24"/>
        </w:rPr>
      </w:pPr>
    </w:p>
    <w:sectPr w:rsidR="00560473">
      <w:headerReference w:type="default" r:id="rId70"/>
      <w:footerReference w:type="default" r:id="rId71"/>
      <w:headerReference w:type="first" r:id="rId72"/>
      <w:footerReference w:type="first" r:id="rId7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40396" w14:textId="77777777" w:rsidR="00B84605" w:rsidRDefault="00B84605">
      <w:pPr>
        <w:spacing w:line="240" w:lineRule="auto"/>
      </w:pPr>
      <w:r>
        <w:separator/>
      </w:r>
    </w:p>
  </w:endnote>
  <w:endnote w:type="continuationSeparator" w:id="0">
    <w:p w14:paraId="619CB1E4" w14:textId="77777777" w:rsidR="00B84605" w:rsidRDefault="00B84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38F2" w14:textId="25007E55" w:rsidR="00560473" w:rsidRDefault="00000000">
    <w:pPr>
      <w:jc w:val="right"/>
    </w:pPr>
    <w:r>
      <w:fldChar w:fldCharType="begin"/>
    </w:r>
    <w:r>
      <w:instrText>PAGE</w:instrText>
    </w:r>
    <w:r>
      <w:fldChar w:fldCharType="separate"/>
    </w:r>
    <w:r w:rsidR="00564D0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8EB2" w14:textId="77777777" w:rsidR="00560473" w:rsidRDefault="00000000">
    <w:pPr>
      <w:jc w:val="right"/>
    </w:pPr>
    <w:r>
      <w:fldChar w:fldCharType="begin"/>
    </w:r>
    <w:r>
      <w:instrText>PAGE</w:instrText>
    </w:r>
    <w:r>
      <w:fldChar w:fldCharType="separate"/>
    </w:r>
    <w:r w:rsidR="00564D0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BE24A" w14:textId="77777777" w:rsidR="00B84605" w:rsidRDefault="00B84605">
      <w:pPr>
        <w:spacing w:line="240" w:lineRule="auto"/>
      </w:pPr>
      <w:r>
        <w:separator/>
      </w:r>
    </w:p>
  </w:footnote>
  <w:footnote w:type="continuationSeparator" w:id="0">
    <w:p w14:paraId="625B43D4" w14:textId="77777777" w:rsidR="00B84605" w:rsidRDefault="00B846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30F1" w14:textId="77777777" w:rsidR="00560473" w:rsidRDefault="005604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FE78" w14:textId="77777777" w:rsidR="00560473" w:rsidRDefault="00000000">
    <w:r>
      <w:rPr>
        <w:noProof/>
      </w:rPr>
      <w:drawing>
        <wp:anchor distT="114300" distB="114300" distL="114300" distR="114300" simplePos="0" relativeHeight="251658240" behindDoc="1" locked="0" layoutInCell="1" hidden="0" allowOverlap="1" wp14:anchorId="05AA7241" wp14:editId="76EDE713">
          <wp:simplePos x="0" y="0"/>
          <wp:positionH relativeFrom="column">
            <wp:posOffset>5229225</wp:posOffset>
          </wp:positionH>
          <wp:positionV relativeFrom="paragraph">
            <wp:posOffset>-285749</wp:posOffset>
          </wp:positionV>
          <wp:extent cx="1414481" cy="43781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4481" cy="437816"/>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1FC6BE56" wp14:editId="2680BB71">
          <wp:simplePos x="0" y="0"/>
          <wp:positionH relativeFrom="column">
            <wp:posOffset>-628649</wp:posOffset>
          </wp:positionH>
          <wp:positionV relativeFrom="paragraph">
            <wp:posOffset>-219074</wp:posOffset>
          </wp:positionV>
          <wp:extent cx="1419225" cy="3085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19225" cy="3085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C5720"/>
    <w:multiLevelType w:val="hybridMultilevel"/>
    <w:tmpl w:val="4D869D4A"/>
    <w:lvl w:ilvl="0" w:tplc="85EAC2C8">
      <w:start w:val="1"/>
      <w:numFmt w:val="decimal"/>
      <w:lvlText w:val="%1."/>
      <w:lvlJc w:val="left"/>
      <w:pPr>
        <w:ind w:left="720" w:hanging="360"/>
      </w:pPr>
    </w:lvl>
    <w:lvl w:ilvl="1" w:tplc="F90ABE0E">
      <w:numFmt w:val="decimal"/>
      <w:lvlText w:val=""/>
      <w:lvlJc w:val="left"/>
    </w:lvl>
    <w:lvl w:ilvl="2" w:tplc="A942C272">
      <w:numFmt w:val="decimal"/>
      <w:lvlText w:val=""/>
      <w:lvlJc w:val="left"/>
    </w:lvl>
    <w:lvl w:ilvl="3" w:tplc="31D291EE">
      <w:numFmt w:val="decimal"/>
      <w:lvlText w:val=""/>
      <w:lvlJc w:val="left"/>
    </w:lvl>
    <w:lvl w:ilvl="4" w:tplc="E474CEF2">
      <w:numFmt w:val="decimal"/>
      <w:lvlText w:val=""/>
      <w:lvlJc w:val="left"/>
    </w:lvl>
    <w:lvl w:ilvl="5" w:tplc="A620B570">
      <w:numFmt w:val="decimal"/>
      <w:lvlText w:val=""/>
      <w:lvlJc w:val="left"/>
    </w:lvl>
    <w:lvl w:ilvl="6" w:tplc="2B863CBA">
      <w:numFmt w:val="decimal"/>
      <w:lvlText w:val=""/>
      <w:lvlJc w:val="left"/>
    </w:lvl>
    <w:lvl w:ilvl="7" w:tplc="300A3F40">
      <w:numFmt w:val="decimal"/>
      <w:lvlText w:val=""/>
      <w:lvlJc w:val="left"/>
    </w:lvl>
    <w:lvl w:ilvl="8" w:tplc="0330B9E4">
      <w:numFmt w:val="decimal"/>
      <w:lvlText w:val=""/>
      <w:lvlJc w:val="left"/>
    </w:lvl>
  </w:abstractNum>
  <w:abstractNum w:abstractNumId="1" w15:restartNumberingAfterBreak="0">
    <w:nsid w:val="3B4C0263"/>
    <w:multiLevelType w:val="multilevel"/>
    <w:tmpl w:val="9EDA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575B2D"/>
    <w:multiLevelType w:val="multilevel"/>
    <w:tmpl w:val="34D2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035333">
    <w:abstractNumId w:val="0"/>
    <w:lvlOverride w:ilvl="0">
      <w:startOverride w:val="1"/>
    </w:lvlOverride>
  </w:num>
  <w:num w:numId="2" w16cid:durableId="1279026908">
    <w:abstractNumId w:val="2"/>
  </w:num>
  <w:num w:numId="3" w16cid:durableId="805506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73"/>
    <w:rsid w:val="000F58FD"/>
    <w:rsid w:val="000F791D"/>
    <w:rsid w:val="00205309"/>
    <w:rsid w:val="002C4D56"/>
    <w:rsid w:val="00356050"/>
    <w:rsid w:val="003E5124"/>
    <w:rsid w:val="003F5AAE"/>
    <w:rsid w:val="004448A9"/>
    <w:rsid w:val="00560473"/>
    <w:rsid w:val="00564D00"/>
    <w:rsid w:val="006E7181"/>
    <w:rsid w:val="00900F6D"/>
    <w:rsid w:val="00B84605"/>
    <w:rsid w:val="00E725E8"/>
    <w:rsid w:val="00FB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0884"/>
  <w15:docId w15:val="{2A550B9A-C5DF-B748-8CB0-1425721F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64D00"/>
    <w:rPr>
      <w:color w:val="0000FF" w:themeColor="hyperlink"/>
      <w:u w:val="single"/>
    </w:rPr>
  </w:style>
  <w:style w:type="character" w:styleId="UnresolvedMention">
    <w:name w:val="Unresolved Mention"/>
    <w:basedOn w:val="DefaultParagraphFont"/>
    <w:uiPriority w:val="99"/>
    <w:semiHidden/>
    <w:unhideWhenUsed/>
    <w:rsid w:val="00564D00"/>
    <w:rPr>
      <w:color w:val="605E5C"/>
      <w:shd w:val="clear" w:color="auto" w:fill="E1DFDD"/>
    </w:rPr>
  </w:style>
  <w:style w:type="paragraph" w:styleId="Footer">
    <w:name w:val="footer"/>
    <w:basedOn w:val="Normal"/>
    <w:link w:val="FooterChar"/>
    <w:uiPriority w:val="99"/>
    <w:unhideWhenUsed/>
    <w:rsid w:val="00564D00"/>
    <w:pPr>
      <w:tabs>
        <w:tab w:val="center" w:pos="4680"/>
        <w:tab w:val="right" w:pos="9360"/>
      </w:tabs>
      <w:spacing w:line="240" w:lineRule="auto"/>
    </w:pPr>
  </w:style>
  <w:style w:type="character" w:customStyle="1" w:styleId="FooterChar">
    <w:name w:val="Footer Char"/>
    <w:basedOn w:val="DefaultParagraphFont"/>
    <w:link w:val="Footer"/>
    <w:uiPriority w:val="99"/>
    <w:rsid w:val="00564D00"/>
  </w:style>
  <w:style w:type="character" w:styleId="PageNumber">
    <w:name w:val="page number"/>
    <w:basedOn w:val="DefaultParagraphFont"/>
    <w:uiPriority w:val="99"/>
    <w:semiHidden/>
    <w:unhideWhenUsed/>
    <w:rsid w:val="00564D00"/>
  </w:style>
  <w:style w:type="paragraph" w:styleId="Header">
    <w:name w:val="header"/>
    <w:basedOn w:val="Normal"/>
    <w:link w:val="HeaderChar"/>
    <w:uiPriority w:val="99"/>
    <w:unhideWhenUsed/>
    <w:rsid w:val="00564D00"/>
    <w:pPr>
      <w:tabs>
        <w:tab w:val="center" w:pos="4680"/>
        <w:tab w:val="right" w:pos="9360"/>
      </w:tabs>
      <w:spacing w:line="240" w:lineRule="auto"/>
    </w:pPr>
  </w:style>
  <w:style w:type="character" w:customStyle="1" w:styleId="HeaderChar">
    <w:name w:val="Header Char"/>
    <w:basedOn w:val="DefaultParagraphFont"/>
    <w:link w:val="Header"/>
    <w:uiPriority w:val="99"/>
    <w:rsid w:val="00564D00"/>
  </w:style>
  <w:style w:type="character" w:styleId="Strong">
    <w:name w:val="Strong"/>
    <w:basedOn w:val="DefaultParagraphFont"/>
    <w:uiPriority w:val="22"/>
    <w:qFormat/>
    <w:rsid w:val="006E7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pubmed.ncbi.nlm.nih.gov/23673151" TargetMode="External"/><Relationship Id="rId21" Type="http://schemas.openxmlformats.org/officeDocument/2006/relationships/hyperlink" Target="https://pubmed.ncbi.nlm.nih.gov/15706554" TargetMode="External"/><Relationship Id="rId42" Type="http://schemas.openxmlformats.org/officeDocument/2006/relationships/hyperlink" Target="https://pubmed.ncbi.nlm.nih.gov/16517389" TargetMode="External"/><Relationship Id="rId47" Type="http://schemas.openxmlformats.org/officeDocument/2006/relationships/hyperlink" Target="https://pubmed.ncbi.nlm.nih.gov/23673151" TargetMode="External"/><Relationship Id="rId63" Type="http://schemas.openxmlformats.org/officeDocument/2006/relationships/hyperlink" Target="https://pubmed.ncbi.nlm.nih.gov/15706554" TargetMode="External"/><Relationship Id="rId68" Type="http://schemas.openxmlformats.org/officeDocument/2006/relationships/hyperlink" Target="https://pubmed.ncbi.nlm.nih.gov/31005925" TargetMode="External"/><Relationship Id="rId2" Type="http://schemas.openxmlformats.org/officeDocument/2006/relationships/styles" Target="styles.xml"/><Relationship Id="rId16" Type="http://schemas.openxmlformats.org/officeDocument/2006/relationships/hyperlink" Target="https://pubmed.ncbi.nlm.nih.gov/23673151" TargetMode="External"/><Relationship Id="rId29" Type="http://schemas.openxmlformats.org/officeDocument/2006/relationships/hyperlink" Target="https://pubmed.ncbi.nlm.nih.gov/36510616" TargetMode="External"/><Relationship Id="rId11" Type="http://schemas.openxmlformats.org/officeDocument/2006/relationships/hyperlink" Target="https://pubmed.ncbi.nlm.nih.gov/15706554" TargetMode="External"/><Relationship Id="rId24" Type="http://schemas.openxmlformats.org/officeDocument/2006/relationships/hyperlink" Target="https://pubmed.ncbi.nlm.nih.gov/15706554" TargetMode="External"/><Relationship Id="rId32" Type="http://schemas.openxmlformats.org/officeDocument/2006/relationships/hyperlink" Target="https://pubmed.ncbi.nlm.nih.gov/15706554" TargetMode="External"/><Relationship Id="rId37" Type="http://schemas.openxmlformats.org/officeDocument/2006/relationships/hyperlink" Target="https://pubmed.ncbi.nlm.nih.gov/16003684" TargetMode="External"/><Relationship Id="rId40" Type="http://schemas.openxmlformats.org/officeDocument/2006/relationships/hyperlink" Target="https://pubmed.ncbi.nlm.nih.gov/15706554" TargetMode="External"/><Relationship Id="rId45" Type="http://schemas.openxmlformats.org/officeDocument/2006/relationships/hyperlink" Target="https://pubmed.ncbi.nlm.nih.gov/16003684" TargetMode="External"/><Relationship Id="rId53" Type="http://schemas.openxmlformats.org/officeDocument/2006/relationships/hyperlink" Target="https://pubmed.ncbi.nlm.nih.gov/31005925" TargetMode="External"/><Relationship Id="rId58" Type="http://schemas.openxmlformats.org/officeDocument/2006/relationships/hyperlink" Target="https://pubmed.ncbi.nlm.nih.gov/23673151" TargetMode="External"/><Relationship Id="rId66" Type="http://schemas.openxmlformats.org/officeDocument/2006/relationships/hyperlink" Target="https://pubmed.ncbi.nlm.nih.gov/38331978"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pubmed.ncbi.nlm.nih.gov/38331978" TargetMode="External"/><Relationship Id="rId19" Type="http://schemas.openxmlformats.org/officeDocument/2006/relationships/hyperlink" Target="https://pubmed.ncbi.nlm.nih.gov/36510616" TargetMode="External"/><Relationship Id="rId14" Type="http://schemas.openxmlformats.org/officeDocument/2006/relationships/hyperlink" Target="https://pubmed.ncbi.nlm.nih.gov/15706554" TargetMode="External"/><Relationship Id="rId22" Type="http://schemas.openxmlformats.org/officeDocument/2006/relationships/hyperlink" Target="https://pubmed.ncbi.nlm.nih.gov/16517389" TargetMode="External"/><Relationship Id="rId27" Type="http://schemas.openxmlformats.org/officeDocument/2006/relationships/hyperlink" Target="https://pubmed.ncbi.nlm.nih.gov/31005925" TargetMode="External"/><Relationship Id="rId30" Type="http://schemas.openxmlformats.org/officeDocument/2006/relationships/hyperlink" Target="https://pubmed.ncbi.nlm.nih.gov/36510616" TargetMode="External"/><Relationship Id="rId35" Type="http://schemas.openxmlformats.org/officeDocument/2006/relationships/hyperlink" Target="https://pubmed.ncbi.nlm.nih.gov/16517389" TargetMode="External"/><Relationship Id="rId43" Type="http://schemas.openxmlformats.org/officeDocument/2006/relationships/hyperlink" Target="https://pubmed.ncbi.nlm.nih.gov/31005925" TargetMode="External"/><Relationship Id="rId48" Type="http://schemas.openxmlformats.org/officeDocument/2006/relationships/hyperlink" Target="https://pubmed.ncbi.nlm.nih.gov/31005925" TargetMode="External"/><Relationship Id="rId56" Type="http://schemas.openxmlformats.org/officeDocument/2006/relationships/hyperlink" Target="https://pubmed.ncbi.nlm.nih.gov/15706554" TargetMode="External"/><Relationship Id="rId64" Type="http://schemas.openxmlformats.org/officeDocument/2006/relationships/hyperlink" Target="https://pubmed.ncbi.nlm.nih.gov/16517389" TargetMode="External"/><Relationship Id="rId69" Type="http://schemas.openxmlformats.org/officeDocument/2006/relationships/hyperlink" Target="https://pubmed.ncbi.nlm.nih.gov/16003684" TargetMode="External"/><Relationship Id="rId8" Type="http://schemas.openxmlformats.org/officeDocument/2006/relationships/hyperlink" Target="https://pubmed.ncbi.nlm.nih.gov/16517389" TargetMode="External"/><Relationship Id="rId51" Type="http://schemas.openxmlformats.org/officeDocument/2006/relationships/hyperlink" Target="https://pubmed.ncbi.nlm.nih.gov/23673151"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pubmed.ncbi.nlm.nih.gov/15706554" TargetMode="External"/><Relationship Id="rId17" Type="http://schemas.openxmlformats.org/officeDocument/2006/relationships/hyperlink" Target="https://pubmed.ncbi.nlm.nih.gov/16517389" TargetMode="External"/><Relationship Id="rId25" Type="http://schemas.openxmlformats.org/officeDocument/2006/relationships/hyperlink" Target="https://pubmed.ncbi.nlm.nih.gov/36510616" TargetMode="External"/><Relationship Id="rId33" Type="http://schemas.openxmlformats.org/officeDocument/2006/relationships/hyperlink" Target="https://pubmed.ncbi.nlm.nih.gov/36510616" TargetMode="External"/><Relationship Id="rId38" Type="http://schemas.openxmlformats.org/officeDocument/2006/relationships/hyperlink" Target="https://pubmed.ncbi.nlm.nih.gov/36510616" TargetMode="External"/><Relationship Id="rId46" Type="http://schemas.openxmlformats.org/officeDocument/2006/relationships/hyperlink" Target="https://pubmed.ncbi.nlm.nih.gov/36510616" TargetMode="External"/><Relationship Id="rId59" Type="http://schemas.openxmlformats.org/officeDocument/2006/relationships/hyperlink" Target="https://pubmed.ncbi.nlm.nih.gov/16517389" TargetMode="External"/><Relationship Id="rId67" Type="http://schemas.openxmlformats.org/officeDocument/2006/relationships/hyperlink" Target="https://pubmed.ncbi.nlm.nih.gov/36510616" TargetMode="External"/><Relationship Id="rId20" Type="http://schemas.openxmlformats.org/officeDocument/2006/relationships/hyperlink" Target="https://pubmed.ncbi.nlm.nih.gov/16517389" TargetMode="External"/><Relationship Id="rId41" Type="http://schemas.openxmlformats.org/officeDocument/2006/relationships/hyperlink" Target="https://pubmed.ncbi.nlm.nih.gov/36510616" TargetMode="External"/><Relationship Id="rId54" Type="http://schemas.openxmlformats.org/officeDocument/2006/relationships/hyperlink" Target="https://pubmed.ncbi.nlm.nih.gov/38331978" TargetMode="External"/><Relationship Id="rId62" Type="http://schemas.openxmlformats.org/officeDocument/2006/relationships/hyperlink" Target="https://pubmed.ncbi.nlm.nih.gov/16003684"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ed.ncbi.nlm.nih.gov/15706554" TargetMode="External"/><Relationship Id="rId23" Type="http://schemas.openxmlformats.org/officeDocument/2006/relationships/hyperlink" Target="https://pubmed.ncbi.nlm.nih.gov/38331978" TargetMode="External"/><Relationship Id="rId28" Type="http://schemas.openxmlformats.org/officeDocument/2006/relationships/hyperlink" Target="https://pubmed.ncbi.nlm.nih.gov/15706554" TargetMode="External"/><Relationship Id="rId36" Type="http://schemas.openxmlformats.org/officeDocument/2006/relationships/hyperlink" Target="https://pubmed.ncbi.nlm.nih.gov/31005925" TargetMode="External"/><Relationship Id="rId49" Type="http://schemas.openxmlformats.org/officeDocument/2006/relationships/hyperlink" Target="https://pubmed.ncbi.nlm.nih.gov/15706554" TargetMode="External"/><Relationship Id="rId57" Type="http://schemas.openxmlformats.org/officeDocument/2006/relationships/hyperlink" Target="https://pubmed.ncbi.nlm.nih.gov/36510616" TargetMode="External"/><Relationship Id="rId10" Type="http://schemas.openxmlformats.org/officeDocument/2006/relationships/hyperlink" Target="https://pubmed.ncbi.nlm.nih.gov/15706554" TargetMode="External"/><Relationship Id="rId31" Type="http://schemas.openxmlformats.org/officeDocument/2006/relationships/hyperlink" Target="https://pubmed.ncbi.nlm.nih.gov/36510616" TargetMode="External"/><Relationship Id="rId44" Type="http://schemas.openxmlformats.org/officeDocument/2006/relationships/hyperlink" Target="https://pubmed.ncbi.nlm.nih.gov/38331978" TargetMode="External"/><Relationship Id="rId52" Type="http://schemas.openxmlformats.org/officeDocument/2006/relationships/hyperlink" Target="https://pubmed.ncbi.nlm.nih.gov/16517389" TargetMode="External"/><Relationship Id="rId60" Type="http://schemas.openxmlformats.org/officeDocument/2006/relationships/hyperlink" Target="https://pubmed.ncbi.nlm.nih.gov/31005925" TargetMode="External"/><Relationship Id="rId65" Type="http://schemas.openxmlformats.org/officeDocument/2006/relationships/hyperlink" Target="https://pubmed.ncbi.nlm.nih.gov/23673151"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ubmed.ncbi.nlm.nih.gov/15706554" TargetMode="External"/><Relationship Id="rId13" Type="http://schemas.openxmlformats.org/officeDocument/2006/relationships/hyperlink" Target="https://pubmed.ncbi.nlm.nih.gov/15706554" TargetMode="External"/><Relationship Id="rId18" Type="http://schemas.openxmlformats.org/officeDocument/2006/relationships/hyperlink" Target="https://pubmed.ncbi.nlm.nih.gov/38331978" TargetMode="External"/><Relationship Id="rId39" Type="http://schemas.openxmlformats.org/officeDocument/2006/relationships/hyperlink" Target="https://pubmed.ncbi.nlm.nih.gov/16517389" TargetMode="External"/><Relationship Id="rId34" Type="http://schemas.openxmlformats.org/officeDocument/2006/relationships/hyperlink" Target="https://pubmed.ncbi.nlm.nih.gov/23673151" TargetMode="External"/><Relationship Id="rId50" Type="http://schemas.openxmlformats.org/officeDocument/2006/relationships/hyperlink" Target="https://pubmed.ncbi.nlm.nih.gov/36510616" TargetMode="External"/><Relationship Id="rId55" Type="http://schemas.openxmlformats.org/officeDocument/2006/relationships/hyperlink" Target="https://pubmed.ncbi.nlm.nih.gov/16003684" TargetMode="External"/><Relationship Id="rId7" Type="http://schemas.openxmlformats.org/officeDocument/2006/relationships/hyperlink" Target="https://pubmed.ncbi.nlm.nih.gov/15706554" TargetMode="External"/><Relationship Id="rId71"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Meyers, DO</cp:lastModifiedBy>
  <cp:revision>3</cp:revision>
  <dcterms:created xsi:type="dcterms:W3CDTF">2025-08-19T09:30:00Z</dcterms:created>
  <dcterms:modified xsi:type="dcterms:W3CDTF">2025-08-19T09:34:00Z</dcterms:modified>
</cp:coreProperties>
</file>