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A3A8" w14:textId="72607AA7" w:rsidR="00406CA0" w:rsidRDefault="00000000">
      <w:pPr>
        <w:pStyle w:val="Heading1"/>
        <w:keepNext w:val="0"/>
        <w:keepLines w:val="0"/>
        <w:spacing w:before="480" w:after="280" w:line="191" w:lineRule="auto"/>
        <w:jc w:val="center"/>
        <w:rPr>
          <w:rFonts w:ascii="Times New Roman" w:eastAsia="Times New Roman" w:hAnsi="Times New Roman" w:cs="Times New Roman"/>
          <w:b/>
          <w:color w:val="0E0E0E"/>
          <w:sz w:val="32"/>
          <w:szCs w:val="32"/>
        </w:rPr>
      </w:pPr>
      <w:bookmarkStart w:id="0" w:name="_n9wcxrotf3z5" w:colFirst="0" w:colLast="0"/>
      <w:bookmarkEnd w:id="0"/>
      <w:r>
        <w:rPr>
          <w:rFonts w:ascii="Times New Roman" w:eastAsia="Times New Roman" w:hAnsi="Times New Roman" w:cs="Times New Roman"/>
          <w:b/>
          <w:color w:val="0E0E0E"/>
          <w:sz w:val="32"/>
          <w:szCs w:val="32"/>
        </w:rPr>
        <w:t xml:space="preserve">Lumbar </w:t>
      </w:r>
      <w:r w:rsidR="001E501F">
        <w:rPr>
          <w:rFonts w:ascii="Times New Roman" w:eastAsia="Times New Roman" w:hAnsi="Times New Roman" w:cs="Times New Roman"/>
          <w:b/>
          <w:color w:val="0E0E0E"/>
          <w:sz w:val="32"/>
          <w:szCs w:val="32"/>
        </w:rPr>
        <w:t xml:space="preserve">Laminotomy +/- </w:t>
      </w:r>
      <w:r>
        <w:rPr>
          <w:rFonts w:ascii="Times New Roman" w:eastAsia="Times New Roman" w:hAnsi="Times New Roman" w:cs="Times New Roman"/>
          <w:b/>
          <w:color w:val="0E0E0E"/>
          <w:sz w:val="32"/>
          <w:szCs w:val="32"/>
        </w:rPr>
        <w:t>Microdiscectomy</w:t>
      </w:r>
    </w:p>
    <w:p w14:paraId="76774702" w14:textId="77777777" w:rsidR="00406CA0" w:rsidRDefault="00000000">
      <w:pPr>
        <w:pStyle w:val="Heading1"/>
        <w:keepNext w:val="0"/>
        <w:keepLines w:val="0"/>
        <w:spacing w:before="480" w:after="280" w:line="191" w:lineRule="auto"/>
        <w:jc w:val="center"/>
        <w:rPr>
          <w:rFonts w:ascii="Times New Roman" w:eastAsia="Times New Roman" w:hAnsi="Times New Roman" w:cs="Times New Roman"/>
          <w:b/>
          <w:color w:val="0E0E0E"/>
          <w:sz w:val="32"/>
          <w:szCs w:val="32"/>
        </w:rPr>
      </w:pPr>
      <w:bookmarkStart w:id="1" w:name="_zeqnusye3k3" w:colFirst="0" w:colLast="0"/>
      <w:bookmarkEnd w:id="1"/>
      <w:r>
        <w:rPr>
          <w:rFonts w:ascii="Times New Roman" w:eastAsia="Times New Roman" w:hAnsi="Times New Roman" w:cs="Times New Roman"/>
          <w:b/>
          <w:color w:val="0E0E0E"/>
          <w:sz w:val="32"/>
          <w:szCs w:val="32"/>
        </w:rPr>
        <w:t>CONSENT</w:t>
      </w:r>
    </w:p>
    <w:p w14:paraId="58EC15E8" w14:textId="76775146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This document outlines the risks and potential complication rates associated with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 xml:space="preserve">lumbar </w:t>
      </w:r>
      <w:r w:rsidR="00837253"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Laminotomy +/- M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icrodiscectomy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.</w:t>
      </w:r>
    </w:p>
    <w:p w14:paraId="74113A9F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Any complication: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10–16% overall, with higher rates in elderly or those with comorbidities.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[1][2][3]</w:t>
      </w:r>
    </w:p>
    <w:p w14:paraId="5402E1B1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Dural tear (incidental durotomy):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3% (range 2–9%).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[1][2][4][5]</w:t>
      </w:r>
    </w:p>
    <w:p w14:paraId="0D992DC7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Wound complications (infection, dehiscence, seroma):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1–2.1%.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[1][2][4]</w:t>
      </w:r>
    </w:p>
    <w:p w14:paraId="487DE30A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Hematoma/hemorrhage: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0.5–1.2%.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[1][2]</w:t>
      </w:r>
    </w:p>
    <w:p w14:paraId="207BD5DE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New or worsening neurological deficit: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1–3%.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[1][4][5]</w:t>
      </w:r>
    </w:p>
    <w:p w14:paraId="49C87A51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Direct nerve root injury: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1–2.6%.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[1][4]</w:t>
      </w:r>
    </w:p>
    <w:p w14:paraId="2B095902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Cerebrospinal fluid leak: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2.2%.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[2]</w:t>
      </w:r>
    </w:p>
    <w:p w14:paraId="20A86491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Urinary retention or micturition problems: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up to 5% (usually transient).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[5]</w:t>
      </w:r>
    </w:p>
    <w:p w14:paraId="7726C30C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Recurrent disc herniation: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4.4–6.9%.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[1][2][5][6]</w:t>
      </w:r>
    </w:p>
    <w:p w14:paraId="2515A24A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Reoperation (within 2 years):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4.3–7.1% for microdiscectomy, with 5.5% requiring revision microdiscectomy and 6.6% requiring fusion within 2 years.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[1][2][6]</w:t>
      </w:r>
    </w:p>
    <w:p w14:paraId="49FFBF2F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Readmission (within 90 days):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2.4%.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[7]</w:t>
      </w:r>
    </w:p>
    <w:p w14:paraId="735640CB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Deep infection: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0.37%.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[2]</w:t>
      </w:r>
    </w:p>
    <w:p w14:paraId="4F0099F7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Wrong level surgery: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0.74%.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[2]</w:t>
      </w:r>
    </w:p>
    <w:p w14:paraId="651F7A0F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Death: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0.06% (0.6 per 1000 procedures).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[4]</w:t>
      </w:r>
    </w:p>
    <w:p w14:paraId="039A8FC8" w14:textId="77777777" w:rsidR="00406CA0" w:rsidRDefault="00000000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Thromboembolism (DVT/PE):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0.047–0.138%.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[4]</w:t>
      </w:r>
    </w:p>
    <w:p w14:paraId="77677EBC" w14:textId="5C5894A4" w:rsidR="00F47938" w:rsidRPr="00F47938" w:rsidRDefault="00000000" w:rsidP="00F47938">
      <w:pPr>
        <w:spacing w:after="200" w:line="301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The American Society of Pain and Neuroscience guideline emphasizes that approximately 10% of patients undergoing microdiscectomy will experience </w:t>
      </w:r>
      <w:proofErr w:type="spell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reherniation</w:t>
      </w:r>
      <w:proofErr w:type="spell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, and up to 20% may require revision surgery. Complication and mortality rates increase with age and comorbidities.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[5]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Minimally invasive and endoscopic techniques may reduce infection risk and blood </w:t>
      </w: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loss, but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lastRenderedPageBreak/>
        <w:t xml:space="preserve">have similar or slightly higher rates of dural tear and </w:t>
      </w:r>
      <w:proofErr w:type="spell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reherniation</w:t>
      </w:r>
      <w:proofErr w:type="spell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compared to open procedures.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[1][2][3][5][8]</w:t>
      </w:r>
      <w:bookmarkStart w:id="2" w:name="_syp3a0nq94rn" w:colFirst="0" w:colLast="0"/>
      <w:bookmarkEnd w:id="2"/>
    </w:p>
    <w:p w14:paraId="14EF3498" w14:textId="1A29E4C4" w:rsidR="00F47938" w:rsidRPr="00F47938" w:rsidRDefault="00F47938" w:rsidP="00F47938">
      <w:pPr>
        <w:spacing w:after="20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Patient Acknowledgment: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signing below, the patient acknowledges understanding of the above risks, their estimated incidence, and the potential for both common and rare complications associated with </w:t>
      </w:r>
      <w:r w:rsidR="001E501F">
        <w:rPr>
          <w:rFonts w:ascii="Times New Roman" w:eastAsia="Times New Roman" w:hAnsi="Times New Roman" w:cs="Times New Roman"/>
          <w:sz w:val="24"/>
          <w:szCs w:val="24"/>
        </w:rPr>
        <w:t>Lumbar Laminotomy +/- Microdiscectomy</w:t>
      </w:r>
      <w:r>
        <w:rPr>
          <w:rFonts w:ascii="Times New Roman" w:eastAsia="Times New Roman" w:hAnsi="Times New Roman" w:cs="Times New Roman"/>
          <w:sz w:val="24"/>
          <w:szCs w:val="24"/>
        </w:rPr>
        <w:t>. All questions have been answered to the patient's satisfaction.</w:t>
      </w:r>
    </w:p>
    <w:p w14:paraId="37C17267" w14:textId="3A8F9152" w:rsidR="00F47938" w:rsidRDefault="00F47938" w:rsidP="00F47938">
      <w:pPr>
        <w:spacing w:after="20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Patient Signature: ____________________</w:t>
      </w:r>
      <w:r w:rsidR="001E501F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_  Date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_________</w:t>
      </w:r>
    </w:p>
    <w:p w14:paraId="134EA254" w14:textId="57F08EA1" w:rsidR="00F47938" w:rsidRDefault="00F47938" w:rsidP="00F47938">
      <w:pPr>
        <w:spacing w:after="20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Patient Name: ____________________</w:t>
      </w:r>
      <w:r w:rsidR="001E501F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_  DOB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:_________</w:t>
      </w:r>
    </w:p>
    <w:p w14:paraId="44B76745" w14:textId="77777777" w:rsidR="00406CA0" w:rsidRPr="00F47938" w:rsidRDefault="00000000">
      <w:pPr>
        <w:pStyle w:val="Heading1"/>
        <w:keepNext w:val="0"/>
        <w:keepLines w:val="0"/>
        <w:spacing w:before="480" w:after="280" w:line="191" w:lineRule="auto"/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</w:pPr>
      <w:r w:rsidRPr="00F47938"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References</w:t>
      </w:r>
    </w:p>
    <w:p w14:paraId="4B01AA84" w14:textId="77777777" w:rsidR="00406CA0" w:rsidRPr="00F47938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  <w:sz w:val="21"/>
          <w:szCs w:val="21"/>
        </w:rPr>
      </w:pP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1. </w:t>
      </w: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ab/>
      </w:r>
      <w:hyperlink r:id="rId6">
        <w:r w:rsidR="00406CA0" w:rsidRPr="00F4793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Lumbar Microdiscectomy Complication Rates: A Systematic Review and Meta-Analysis.</w:t>
        </w:r>
      </w:hyperlink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 Shriver MF, Xie JJ, Tye EY, et al. Neurosurgical Focus. 2015;39(4</w:t>
      </w:r>
      <w:proofErr w:type="gramStart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):E</w:t>
      </w:r>
      <w:proofErr w:type="gramEnd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6. doi:10.3171/2015.</w:t>
      </w:r>
      <w:proofErr w:type="gramStart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7.FOCUS</w:t>
      </w:r>
      <w:proofErr w:type="gramEnd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15281.</w:t>
      </w:r>
    </w:p>
    <w:p w14:paraId="19F76BBD" w14:textId="77777777" w:rsidR="00406CA0" w:rsidRPr="00F47938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  <w:sz w:val="21"/>
          <w:szCs w:val="21"/>
        </w:rPr>
      </w:pP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2. </w:t>
      </w: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ab/>
      </w:r>
      <w:hyperlink r:id="rId7">
        <w:r w:rsidR="00406CA0" w:rsidRPr="00F4793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A 2-Year Outcomes and Complications of Various Techniques of Lumbar Discectomy: A Multicentric Retrospective Study.</w:t>
        </w:r>
      </w:hyperlink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 Rajamani PA, </w:t>
      </w:r>
      <w:proofErr w:type="spellStart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Goparaju</w:t>
      </w:r>
      <w:proofErr w:type="spellEnd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 P, Kulkarni AG, et al. World Neurosurgery. 2021;</w:t>
      </w:r>
      <w:proofErr w:type="gramStart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156:e</w:t>
      </w:r>
      <w:proofErr w:type="gramEnd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319-e328. </w:t>
      </w:r>
      <w:proofErr w:type="gramStart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doi:10.1016/j.wneu</w:t>
      </w:r>
      <w:proofErr w:type="gramEnd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.2021.09.062.</w:t>
      </w:r>
    </w:p>
    <w:p w14:paraId="43ECE6B6" w14:textId="77777777" w:rsidR="00406CA0" w:rsidRPr="00F47938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  <w:sz w:val="21"/>
          <w:szCs w:val="21"/>
        </w:rPr>
      </w:pP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3. </w:t>
      </w: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ab/>
      </w:r>
      <w:hyperlink r:id="rId8">
        <w:r w:rsidR="00406CA0" w:rsidRPr="00F4793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Complication Rates of Different Discectomy Techniques for Symptomatic Lumbar Disc Herniation: A Systematic Review and Meta-Analysis.</w:t>
        </w:r>
      </w:hyperlink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 Chen X, Chamoli U, Vargas Castillo J, Ramakrishna VAS, Diwan AD. European Spine Journal : Official Publication of the European Spine Society, the European Spinal Deformity Society, and the European Section of the Cervical Spine Research Society. 2020;29(7):1752-1770. doi:10.1007/s00586-020-06389-5.</w:t>
      </w:r>
    </w:p>
    <w:p w14:paraId="725B9EAB" w14:textId="77777777" w:rsidR="00406CA0" w:rsidRPr="00F47938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  <w:sz w:val="21"/>
          <w:szCs w:val="21"/>
        </w:rPr>
      </w:pP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4. </w:t>
      </w: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ab/>
      </w:r>
      <w:hyperlink r:id="rId9">
        <w:r w:rsidR="00406CA0" w:rsidRPr="00F4793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Herniated Lumbar Intervertebral Disk.</w:t>
        </w:r>
      </w:hyperlink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 Deyo RA, Mirza SK. The New England Journal of Medicine. 2016;374(18):1763-72. doi:10.1056/NEJMcp1512658.</w:t>
      </w:r>
    </w:p>
    <w:p w14:paraId="3FE2FC0F" w14:textId="77777777" w:rsidR="00406CA0" w:rsidRPr="00F47938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  <w:sz w:val="21"/>
          <w:szCs w:val="21"/>
        </w:rPr>
      </w:pP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5. </w:t>
      </w: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ab/>
      </w:r>
      <w:hyperlink r:id="rId10">
        <w:r w:rsidR="00406CA0" w:rsidRPr="00F4793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The American Society of Pain and Neuroscience (ASPN) Evidence-Based Clinical Guideline of Interventional Treatments for Low Back Pain.</w:t>
        </w:r>
      </w:hyperlink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 Sayed D, Grider J, Strand N, et al. Journal of Pain Research. </w:t>
      </w:r>
      <w:proofErr w:type="gramStart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2022;15:3729</w:t>
      </w:r>
      <w:proofErr w:type="gramEnd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-3832. doi:10.2147/JPR.S386879.</w:t>
      </w:r>
    </w:p>
    <w:p w14:paraId="01ECA18C" w14:textId="77777777" w:rsidR="00406CA0" w:rsidRPr="00F47938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  <w:sz w:val="21"/>
          <w:szCs w:val="21"/>
        </w:rPr>
      </w:pP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6. </w:t>
      </w: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ab/>
      </w:r>
      <w:hyperlink r:id="rId11">
        <w:r w:rsidR="00406CA0" w:rsidRPr="00F4793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Risk Factors Associated With Revision Microdiscectomy or Subsequent Spinal Fusion Within 2 Years of Index Lumbar Microdiscectomy.</w:t>
        </w:r>
      </w:hyperlink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 Kramer DE, Barrett TS, Drury-Gworek C, et al. Spine. </w:t>
      </w:r>
      <w:proofErr w:type="gramStart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2025;:</w:t>
      </w:r>
      <w:proofErr w:type="gramEnd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00007632-990000000-00995. doi:10.1097/BRS.0000000000005302.</w:t>
      </w:r>
    </w:p>
    <w:p w14:paraId="6DFE2005" w14:textId="77777777" w:rsidR="00406CA0" w:rsidRPr="00F47938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  <w:sz w:val="21"/>
          <w:szCs w:val="21"/>
        </w:rPr>
      </w:pP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7. </w:t>
      </w: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ab/>
      </w:r>
      <w:hyperlink r:id="rId12">
        <w:r w:rsidR="00406CA0" w:rsidRPr="00F4793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Informed Consent for Spine Procedures: Best Practice Guideline From the American Society of Pain and Neuroscience (ASPN).</w:t>
        </w:r>
      </w:hyperlink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 Deer T, Patel AA, Sayed D, et al. Journal of Pain Research. </w:t>
      </w:r>
      <w:proofErr w:type="gramStart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2023;16:3559</w:t>
      </w:r>
      <w:proofErr w:type="gramEnd"/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>-3568. doi:10.2147/JPR.S418261.</w:t>
      </w:r>
    </w:p>
    <w:p w14:paraId="491F4772" w14:textId="77777777" w:rsidR="00406CA0" w:rsidRPr="00F47938" w:rsidRDefault="00000000">
      <w:pPr>
        <w:spacing w:line="301" w:lineRule="auto"/>
        <w:ind w:left="720"/>
        <w:rPr>
          <w:rFonts w:ascii="Times New Roman" w:eastAsia="Times New Roman" w:hAnsi="Times New Roman" w:cs="Times New Roman"/>
          <w:color w:val="0E0E0E"/>
          <w:sz w:val="21"/>
          <w:szCs w:val="21"/>
        </w:rPr>
      </w:pP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8. </w:t>
      </w:r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ab/>
      </w:r>
      <w:hyperlink r:id="rId13">
        <w:r w:rsidR="00406CA0" w:rsidRPr="00F4793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Complication Rates of Different Discectomy Techniques for the Treatment of Lumbar Disc Herniation: A Network Meta-Analysis.</w:t>
        </w:r>
      </w:hyperlink>
      <w:r w:rsidRPr="00F47938">
        <w:rPr>
          <w:rFonts w:ascii="Times New Roman" w:eastAsia="Times New Roman" w:hAnsi="Times New Roman" w:cs="Times New Roman"/>
          <w:color w:val="0E0E0E"/>
          <w:sz w:val="21"/>
          <w:szCs w:val="21"/>
        </w:rPr>
        <w:t xml:space="preserve"> Chen X, Chamoli U, Lapkin S, Castillo JV, Diwan AD. European Spine Journal : Official Publication of the European Spine Society, the European Spinal Deformity Society, and the European Section of the Cervical Spine Research Society. 2019;28(11):2588-2601. doi:10.1007/s00586-019-06142-7.</w:t>
      </w:r>
    </w:p>
    <w:p w14:paraId="5F506DF5" w14:textId="77777777" w:rsidR="00406CA0" w:rsidRDefault="00406CA0">
      <w:pPr>
        <w:rPr>
          <w:color w:val="0E0E0E"/>
          <w:sz w:val="21"/>
          <w:szCs w:val="21"/>
        </w:rPr>
      </w:pPr>
    </w:p>
    <w:sectPr w:rsidR="00406CA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E456" w14:textId="77777777" w:rsidR="000C284A" w:rsidRDefault="000C284A">
      <w:pPr>
        <w:spacing w:line="240" w:lineRule="auto"/>
      </w:pPr>
      <w:r>
        <w:separator/>
      </w:r>
    </w:p>
  </w:endnote>
  <w:endnote w:type="continuationSeparator" w:id="0">
    <w:p w14:paraId="138103A8" w14:textId="77777777" w:rsidR="000C284A" w:rsidRDefault="000C2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5AD37" w14:textId="0C07B8D2" w:rsidR="00406CA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4793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1C76" w14:textId="77777777" w:rsidR="00406CA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479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0F490" w14:textId="77777777" w:rsidR="000C284A" w:rsidRDefault="000C284A">
      <w:pPr>
        <w:spacing w:line="240" w:lineRule="auto"/>
      </w:pPr>
      <w:r>
        <w:separator/>
      </w:r>
    </w:p>
  </w:footnote>
  <w:footnote w:type="continuationSeparator" w:id="0">
    <w:p w14:paraId="00FEFD03" w14:textId="77777777" w:rsidR="000C284A" w:rsidRDefault="000C2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E0BA" w14:textId="77777777" w:rsidR="00406CA0" w:rsidRDefault="00406C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1484" w14:textId="77777777" w:rsidR="00406CA0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E191711" wp14:editId="3396BB52">
          <wp:simplePos x="0" y="0"/>
          <wp:positionH relativeFrom="column">
            <wp:posOffset>5229225</wp:posOffset>
          </wp:positionH>
          <wp:positionV relativeFrom="paragraph">
            <wp:posOffset>-285749</wp:posOffset>
          </wp:positionV>
          <wp:extent cx="1414481" cy="437816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481" cy="437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89D11F4" wp14:editId="7CC69D52">
          <wp:simplePos x="0" y="0"/>
          <wp:positionH relativeFrom="column">
            <wp:posOffset>-628649</wp:posOffset>
          </wp:positionH>
          <wp:positionV relativeFrom="paragraph">
            <wp:posOffset>-219074</wp:posOffset>
          </wp:positionV>
          <wp:extent cx="1419225" cy="3085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308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A0"/>
    <w:rsid w:val="000C284A"/>
    <w:rsid w:val="001E501F"/>
    <w:rsid w:val="00406CA0"/>
    <w:rsid w:val="00477D99"/>
    <w:rsid w:val="0058490C"/>
    <w:rsid w:val="00837253"/>
    <w:rsid w:val="008B51B6"/>
    <w:rsid w:val="00900F6D"/>
    <w:rsid w:val="00945749"/>
    <w:rsid w:val="00C56775"/>
    <w:rsid w:val="00DD2F29"/>
    <w:rsid w:val="00F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08EEB"/>
  <w15:docId w15:val="{151A9743-FFD6-2D43-B1E0-5EC897E9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2274586" TargetMode="External"/><Relationship Id="rId13" Type="http://schemas.openxmlformats.org/officeDocument/2006/relationships/hyperlink" Target="https://pubmed.ncbi.nlm.nih.gov/3152921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4555576" TargetMode="External"/><Relationship Id="rId12" Type="http://schemas.openxmlformats.org/officeDocument/2006/relationships/hyperlink" Target="https://pubmed.ncbi.nlm.nih.gov/37908778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26424346" TargetMode="External"/><Relationship Id="rId11" Type="http://schemas.openxmlformats.org/officeDocument/2006/relationships/hyperlink" Target="https://pubmed.ncbi.nlm.nih.gov/4025717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pubmed.ncbi.nlm.nih.gov/3651061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nejm.org/doi/full/10.1056/NEJMcp1512658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Meyers, DO</cp:lastModifiedBy>
  <cp:revision>2</cp:revision>
  <dcterms:created xsi:type="dcterms:W3CDTF">2025-08-19T15:00:00Z</dcterms:created>
  <dcterms:modified xsi:type="dcterms:W3CDTF">2025-08-19T15:00:00Z</dcterms:modified>
</cp:coreProperties>
</file>