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9B1C" w14:textId="17632C57" w:rsidR="00D21423" w:rsidRDefault="00000000">
      <w:pPr>
        <w:pStyle w:val="Heading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</w:pPr>
      <w:bookmarkStart w:id="0" w:name="_b3jc0459lkbd" w:colFirst="0" w:colLast="0"/>
      <w:bookmarkEnd w:id="0"/>
      <w:r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  <w:t xml:space="preserve">Lumbar </w:t>
      </w:r>
      <w:r w:rsidR="00842163"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  <w:t>Laminectomy</w:t>
      </w:r>
    </w:p>
    <w:p w14:paraId="506C7011" w14:textId="77777777" w:rsidR="00D21423" w:rsidRPr="00747CCA" w:rsidRDefault="00000000">
      <w:pPr>
        <w:pStyle w:val="Heading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</w:pPr>
      <w:bookmarkStart w:id="1" w:name="_zeqnusye3k3" w:colFirst="0" w:colLast="0"/>
      <w:bookmarkEnd w:id="1"/>
      <w:r w:rsidRPr="00747CCA"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>CONSENT</w:t>
      </w:r>
    </w:p>
    <w:p w14:paraId="6B14266C" w14:textId="2D3FB745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E0E0E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This document outlines the risks and potential complication rates associated with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lumbar laminectomy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for degenerative lumbar spinal stenosis.</w:t>
      </w:r>
    </w:p>
    <w:p w14:paraId="7F12ECCD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Any complication: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10–18% for laminectomy/laminotomy, with higher rates in elderly or those with comorbidities.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[1][2][3]</w:t>
      </w:r>
    </w:p>
    <w:p w14:paraId="14136026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Dural tear (incidental durotomy):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3–9%.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[2][4][5][6]</w:t>
      </w:r>
    </w:p>
    <w:p w14:paraId="465C4608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Wound complications (infection, dehiscence, seroma):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0.6–2%.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[2][6][7]</w:t>
      </w:r>
    </w:p>
    <w:p w14:paraId="5CF76B89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Hematoma/hemorrhage: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0.5–5.2%.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[2][3][8]</w:t>
      </w:r>
    </w:p>
    <w:p w14:paraId="1AE53D50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New or worsening neurological deficit: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1–3%.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[9]</w:t>
      </w:r>
    </w:p>
    <w:p w14:paraId="676DF808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Direct nerve root injury: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1–2.6%.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[9]</w:t>
      </w:r>
    </w:p>
    <w:p w14:paraId="00D1402C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Reoperation (within 2 years):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14.9% for laminotomy, including for recurrent stenosis or adjacent level disease.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[1][2]</w:t>
      </w:r>
    </w:p>
    <w:p w14:paraId="769795B9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Readmission (within 90 days):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2.4%.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[1]</w:t>
      </w:r>
    </w:p>
    <w:p w14:paraId="3057CDD3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Deep infection: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0.37%.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[7]</w:t>
      </w:r>
    </w:p>
    <w:p w14:paraId="337FE102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Wrong level surgery: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0.74%.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[5][7]</w:t>
      </w:r>
    </w:p>
    <w:p w14:paraId="4BE7DCE6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Death: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0.06–0.17% (higher in elderly with comorbidities).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[3]</w:t>
      </w:r>
    </w:p>
    <w:p w14:paraId="19122EDC" w14:textId="77777777" w:rsidR="00D21423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3"/>
          <w:szCs w:val="23"/>
        </w:rPr>
        <w:t>Thromboembolism (DVT/PE):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0.047–0.138%.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[5]</w:t>
      </w:r>
    </w:p>
    <w:p w14:paraId="57D5BDC5" w14:textId="02643817" w:rsidR="00747CCA" w:rsidRPr="00747CCA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Complication and mortality rates increase with age and comorbidities, with rates up to 18.9% and 1.4% respectively in patients over 85 with multiple comorbidities.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[3]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Minimally invasive and endoscopic techniques may reduce infection risk and blood loss, but have similar or slightly higher rates of dural tear and reherniation compared to open procedures.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[2][4][6][8]</w:t>
      </w:r>
    </w:p>
    <w:p w14:paraId="5FC2221F" w14:textId="2CE4E8BA" w:rsidR="00747CCA" w:rsidRPr="00747CCA" w:rsidRDefault="00747CCA" w:rsidP="00747CCA">
      <w:pPr>
        <w:spacing w:after="20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2939lyvzoynp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Patient Acknowledgment: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signing below, the patient acknowledges understanding of the above risks, their estimated incidence, and the potential for both common and rare complications associated with </w:t>
      </w:r>
      <w:r w:rsidR="00CA21EA">
        <w:rPr>
          <w:rFonts w:ascii="Times New Roman" w:eastAsia="Times New Roman" w:hAnsi="Times New Roman" w:cs="Times New Roman"/>
          <w:sz w:val="24"/>
          <w:szCs w:val="24"/>
        </w:rPr>
        <w:t>Lumbar Laminectomy</w:t>
      </w:r>
      <w:r>
        <w:rPr>
          <w:rFonts w:ascii="Times New Roman" w:eastAsia="Times New Roman" w:hAnsi="Times New Roman" w:cs="Times New Roman"/>
          <w:sz w:val="24"/>
          <w:szCs w:val="24"/>
        </w:rPr>
        <w:t>. All questions have been answered to the patient's satisfaction.</w:t>
      </w:r>
    </w:p>
    <w:p w14:paraId="35A3F7BF" w14:textId="243F29D4" w:rsidR="00747CCA" w:rsidRDefault="00747CCA" w:rsidP="00747CCA">
      <w:pPr>
        <w:spacing w:after="20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Patient Signature: ____________________</w:t>
      </w:r>
      <w:r w:rsidR="00CA21EA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  Date: _________</w:t>
      </w:r>
    </w:p>
    <w:p w14:paraId="6E643738" w14:textId="58E7F052" w:rsidR="00747CCA" w:rsidRDefault="00747CCA" w:rsidP="00747CCA">
      <w:pPr>
        <w:spacing w:after="20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Patient Name: ____________________</w:t>
      </w:r>
      <w:r w:rsidR="00CA21EA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  DOB:_________</w:t>
      </w:r>
    </w:p>
    <w:p w14:paraId="66E2E38D" w14:textId="77777777" w:rsidR="00D21423" w:rsidRDefault="00000000">
      <w:pPr>
        <w:pStyle w:val="Heading1"/>
        <w:keepNext w:val="0"/>
        <w:keepLines w:val="0"/>
        <w:spacing w:before="480" w:after="280" w:line="191" w:lineRule="auto"/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lastRenderedPageBreak/>
        <w:t>References</w:t>
      </w:r>
    </w:p>
    <w:p w14:paraId="29408E89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1.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6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Patient Outcomes After Laminotomy, Hemilaminectomy, Laminectomy and Laminectomy With Instrumented Fusion for Spinal Canal Stenosis: A Propensity Score-Based Study From the Spine Tango Registry.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Munting E, Röder C, Sobottke R, Dietrich D, Aghayev E. European Spine Journal : Official Publication of the European Spine Society, the European Spinal Deformity Society, and the European Section of the Cervical Spine Research Society. 2015;24(2):358-68. doi:10.1007/s00586-014-3349-0.</w:t>
      </w:r>
    </w:p>
    <w:p w14:paraId="2CA8F058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2.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7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Unilateral Laminotomy With Bilateral Spinal Canal Decompression: Systematic Review of Outcomes and Complications.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Algarni N, Al-Amoodi M, Marwan Y, et al. BMC Musculoskeletal Disorders. 2023;24(1):904. doi:10.1186/s12891-023-07033-1.</w:t>
      </w:r>
    </w:p>
    <w:p w14:paraId="681919E3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3.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8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Effects of Age and Comorbidities on Complication Rates and Adverse Outcomes After Lumbar Laminectomy in Elderly Patients.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Li G, Patil CG, Lad SP, et al. Spine. 2008;33(11):1250-5. doi:10.1097/BRS.0b013e3181714a44.</w:t>
      </w:r>
    </w:p>
    <w:p w14:paraId="260302F7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4.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9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Sciatica.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Ropper AH, Zafonte RD. The New England Journal of Medicine. 2015;372(13):1240-8. doi:10.1056/NEJMra1410151.</w:t>
      </w:r>
    </w:p>
    <w:p w14:paraId="5C958DFA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5.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10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Incidental Durotomy After Posterior Lumbar Decompression Surgery Associated With Increased Risk for Venous Thromboembolism.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Gouzoulis MJ, Joo PY, Caruana DL, et al. The Journal of the American Academy of Orthopaedic Surgeons. 2023;31(8):e445-e450. doi:10.5435/JAAOS-D-22-00917.</w:t>
      </w:r>
    </w:p>
    <w:p w14:paraId="70749E43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6.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11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Minimally Invasive Versus Open Laminectomy for Lumbar Stenosis: A Systematic Review and Meta-Analysis.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Phan K, Mobbs RJ. Spine. 2016;41(2):E91-E100. doi:10.1097/BRS.0000000000001161.</w:t>
      </w:r>
    </w:p>
    <w:p w14:paraId="44E86680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7.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12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Risk Factors for Surgical Site Infection After Lumbar Laminectomy and/or Discectomy for Degenerative Diseases in Adults: A Prospective Multicenter Surveillance Study With Registry of 4027 Cases.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Ogihara S, Yamazaki T, Inanami H, et al. PloS One. 2018;13(10):e0205539. doi:10.1371/journal.pone.0205539.</w:t>
      </w:r>
    </w:p>
    <w:p w14:paraId="22B12793" w14:textId="77777777" w:rsidR="00D21423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>8.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13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The Incidence of Symptomatic Postoperative Epidural Hematoma After Minimally Invasive Lumbar Decompression: A Single Institution Retrospective Review.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Mueller K, Altshuler M, Voyadzis JM, Sandhu FA. Clinical Neurology and Neurosurgery. 2020;195:105868. doi:10.1016/j.clineuro.2020.105868.</w:t>
      </w:r>
    </w:p>
    <w:p w14:paraId="0147FB89" w14:textId="77777777" w:rsidR="00D21423" w:rsidRDefault="00000000">
      <w:pPr>
        <w:spacing w:line="301" w:lineRule="auto"/>
        <w:ind w:left="720"/>
        <w:rPr>
          <w:color w:val="0E0E0E"/>
          <w:sz w:val="21"/>
          <w:szCs w:val="21"/>
        </w:rPr>
      </w:pPr>
      <w:r>
        <w:rPr>
          <w:rFonts w:ascii="Times New Roman" w:eastAsia="Times New Roman" w:hAnsi="Times New Roman" w:cs="Times New Roman"/>
          <w:color w:val="0E0E0E"/>
        </w:rPr>
        <w:t>9.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2"/>
          <w:szCs w:val="12"/>
        </w:rPr>
        <w:tab/>
      </w:r>
      <w:hyperlink r:id="rId14">
        <w:r w:rsidR="00D21423">
          <w:rPr>
            <w:rFonts w:ascii="Times New Roman" w:eastAsia="Times New Roman" w:hAnsi="Times New Roman" w:cs="Times New Roman"/>
            <w:color w:val="0000FF"/>
            <w:u w:val="single"/>
          </w:rPr>
          <w:t>Iatrogenic Neurologic Deficit After Lumbar Spine Surgery: A Review.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Ghobrial GM, Williams KA, Arnold P, Fehlings M, Harrop JS. Clinical Neurology and Neurosurgery. 2015;139:76-80. doi:10.1016/j.clineuro.2015.08.022.</w:t>
      </w:r>
    </w:p>
    <w:sectPr w:rsidR="00D2142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A9B0B" w14:textId="77777777" w:rsidR="00E83781" w:rsidRDefault="00E83781">
      <w:pPr>
        <w:spacing w:line="240" w:lineRule="auto"/>
      </w:pPr>
      <w:r>
        <w:separator/>
      </w:r>
    </w:p>
  </w:endnote>
  <w:endnote w:type="continuationSeparator" w:id="0">
    <w:p w14:paraId="1DF2EC3A" w14:textId="77777777" w:rsidR="00E83781" w:rsidRDefault="00E8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BDC1" w14:textId="3E03FDE5" w:rsidR="00D2142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47CC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A036" w14:textId="77777777" w:rsidR="00D2142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47C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615A" w14:textId="77777777" w:rsidR="00E83781" w:rsidRDefault="00E83781">
      <w:pPr>
        <w:spacing w:line="240" w:lineRule="auto"/>
      </w:pPr>
      <w:r>
        <w:separator/>
      </w:r>
    </w:p>
  </w:footnote>
  <w:footnote w:type="continuationSeparator" w:id="0">
    <w:p w14:paraId="1F5F6B70" w14:textId="77777777" w:rsidR="00E83781" w:rsidRDefault="00E83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FB22" w14:textId="77777777" w:rsidR="00D21423" w:rsidRDefault="00D214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C50F" w14:textId="77777777" w:rsidR="00D21423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C2168A2" wp14:editId="38B7DC07">
          <wp:simplePos x="0" y="0"/>
          <wp:positionH relativeFrom="column">
            <wp:posOffset>5229225</wp:posOffset>
          </wp:positionH>
          <wp:positionV relativeFrom="paragraph">
            <wp:posOffset>-285749</wp:posOffset>
          </wp:positionV>
          <wp:extent cx="1414481" cy="43781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81" cy="437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080D5D5" wp14:editId="69980552">
          <wp:simplePos x="0" y="0"/>
          <wp:positionH relativeFrom="column">
            <wp:posOffset>-628649</wp:posOffset>
          </wp:positionH>
          <wp:positionV relativeFrom="paragraph">
            <wp:posOffset>-219074</wp:posOffset>
          </wp:positionV>
          <wp:extent cx="1419225" cy="3085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308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23"/>
    <w:rsid w:val="00140511"/>
    <w:rsid w:val="00220DD7"/>
    <w:rsid w:val="00443285"/>
    <w:rsid w:val="00571184"/>
    <w:rsid w:val="00747CCA"/>
    <w:rsid w:val="00842163"/>
    <w:rsid w:val="00900F6D"/>
    <w:rsid w:val="00CA21EA"/>
    <w:rsid w:val="00D21423"/>
    <w:rsid w:val="00D82C69"/>
    <w:rsid w:val="00E83781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A5C4F"/>
  <w15:docId w15:val="{151A9743-FFD6-2D43-B1E0-5EC897E9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8469700" TargetMode="External"/><Relationship Id="rId13" Type="http://schemas.openxmlformats.org/officeDocument/2006/relationships/hyperlink" Target="https://pubmed.ncbi.nlm.nih.gov/3236102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7990183" TargetMode="External"/><Relationship Id="rId12" Type="http://schemas.openxmlformats.org/officeDocument/2006/relationships/hyperlink" Target="https://pubmed.ncbi.nlm.nih.gov/30325940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4840246" TargetMode="External"/><Relationship Id="rId11" Type="http://schemas.openxmlformats.org/officeDocument/2006/relationships/hyperlink" Target="https://pubmed.ncbi.nlm.nih.gov/2655583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pubmed.ncbi.nlm.nih.gov/3672794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ejm.org/doi/full/10.1056/NEJMra1410151" TargetMode="External"/><Relationship Id="rId14" Type="http://schemas.openxmlformats.org/officeDocument/2006/relationships/hyperlink" Target="https://pubmed.ncbi.nlm.nih.gov/2638690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Meyers, DO</cp:lastModifiedBy>
  <cp:revision>2</cp:revision>
  <dcterms:created xsi:type="dcterms:W3CDTF">2025-08-19T14:59:00Z</dcterms:created>
  <dcterms:modified xsi:type="dcterms:W3CDTF">2025-08-19T14:59:00Z</dcterms:modified>
</cp:coreProperties>
</file>