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76" w:lineRule="auto"/>
        <w:jc w:val="center"/>
        <w:rPr>
          <w:rFonts w:ascii="Times New Roman" w:cs="Times New Roman" w:eastAsia="Times New Roman" w:hAnsi="Times New Roman"/>
          <w:b w:val="1"/>
          <w:color w:val="0e0e0e"/>
          <w:sz w:val="32"/>
          <w:szCs w:val="32"/>
        </w:rPr>
      </w:pPr>
      <w:bookmarkStart w:colFirst="0" w:colLast="0" w:name="_b3jc0459lkbd" w:id="0"/>
      <w:bookmarkEnd w:id="0"/>
      <w:r w:rsidDel="00000000" w:rsidR="00000000" w:rsidRPr="00000000">
        <w:rPr>
          <w:rFonts w:ascii="Times New Roman" w:cs="Times New Roman" w:eastAsia="Times New Roman" w:hAnsi="Times New Roman"/>
          <w:b w:val="1"/>
          <w:color w:val="0e0e0e"/>
          <w:sz w:val="32"/>
          <w:szCs w:val="32"/>
          <w:rtl w:val="0"/>
        </w:rPr>
        <w:t xml:space="preserve">Lumbar Decompression</w:t>
      </w:r>
    </w:p>
    <w:p w:rsidR="00000000" w:rsidDel="00000000" w:rsidP="00000000" w:rsidRDefault="00000000" w:rsidRPr="00000000" w14:paraId="00000002">
      <w:pPr>
        <w:pStyle w:val="Heading1"/>
        <w:keepNext w:val="0"/>
        <w:keepLines w:val="0"/>
        <w:spacing w:after="0" w:before="0" w:line="276" w:lineRule="auto"/>
        <w:jc w:val="center"/>
        <w:rPr>
          <w:rFonts w:ascii="Times New Roman" w:cs="Times New Roman" w:eastAsia="Times New Roman" w:hAnsi="Times New Roman"/>
          <w:b w:val="1"/>
          <w:color w:val="0e0e0e"/>
          <w:sz w:val="32"/>
          <w:szCs w:val="32"/>
        </w:rPr>
      </w:pPr>
      <w:bookmarkStart w:colFirst="0" w:colLast="0" w:name="_zeqnusye3k3" w:id="1"/>
      <w:bookmarkEnd w:id="1"/>
      <w:r w:rsidDel="00000000" w:rsidR="00000000" w:rsidRPr="00000000">
        <w:rPr>
          <w:rFonts w:ascii="Times New Roman" w:cs="Times New Roman" w:eastAsia="Times New Roman" w:hAnsi="Times New Roman"/>
          <w:b w:val="1"/>
          <w:color w:val="0e0e0e"/>
          <w:sz w:val="32"/>
          <w:szCs w:val="32"/>
          <w:rtl w:val="0"/>
        </w:rPr>
        <w:t xml:space="preserve">CONSENT</w:t>
      </w:r>
    </w:p>
    <w:p w:rsidR="00000000" w:rsidDel="00000000" w:rsidP="00000000" w:rsidRDefault="00000000" w:rsidRPr="00000000" w14:paraId="00000003">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This document outlines the risks and potential complication rates associated with </w:t>
      </w:r>
      <w:r w:rsidDel="00000000" w:rsidR="00000000" w:rsidRPr="00000000">
        <w:rPr>
          <w:rFonts w:ascii="Times New Roman" w:cs="Times New Roman" w:eastAsia="Times New Roman" w:hAnsi="Times New Roman"/>
          <w:b w:val="1"/>
          <w:color w:val="0e0e0e"/>
          <w:sz w:val="23"/>
          <w:szCs w:val="23"/>
          <w:rtl w:val="0"/>
        </w:rPr>
        <w:t xml:space="preserve">lumbar laminectomy or laminotomy</w:t>
      </w:r>
      <w:r w:rsidDel="00000000" w:rsidR="00000000" w:rsidRPr="00000000">
        <w:rPr>
          <w:rFonts w:ascii="Times New Roman" w:cs="Times New Roman" w:eastAsia="Times New Roman" w:hAnsi="Times New Roman"/>
          <w:color w:val="0e0e0e"/>
          <w:sz w:val="23"/>
          <w:szCs w:val="23"/>
          <w:rtl w:val="0"/>
        </w:rPr>
        <w:t xml:space="preserve"> for degenerative lumbar spinal stenosis.</w:t>
      </w:r>
    </w:p>
    <w:p w:rsidR="00000000" w:rsidDel="00000000" w:rsidP="00000000" w:rsidRDefault="00000000" w:rsidRPr="00000000" w14:paraId="00000004">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Any complication:</w:t>
      </w:r>
      <w:r w:rsidDel="00000000" w:rsidR="00000000" w:rsidRPr="00000000">
        <w:rPr>
          <w:rFonts w:ascii="Times New Roman" w:cs="Times New Roman" w:eastAsia="Times New Roman" w:hAnsi="Times New Roman"/>
          <w:color w:val="0e0e0e"/>
          <w:sz w:val="23"/>
          <w:szCs w:val="23"/>
          <w:rtl w:val="0"/>
        </w:rPr>
        <w:t xml:space="preserve"> 10–18% for laminectomy/laminotomy, with higher rates in elderly or those with comorbidities.</w:t>
      </w:r>
      <w:r w:rsidDel="00000000" w:rsidR="00000000" w:rsidRPr="00000000">
        <w:rPr>
          <w:rFonts w:ascii="Times New Roman" w:cs="Times New Roman" w:eastAsia="Times New Roman" w:hAnsi="Times New Roman"/>
          <w:color w:val="0000ff"/>
          <w:sz w:val="23"/>
          <w:szCs w:val="23"/>
          <w:rtl w:val="0"/>
        </w:rPr>
        <w:t xml:space="preserve">[1][2][3]</w:t>
      </w:r>
    </w:p>
    <w:p w:rsidR="00000000" w:rsidDel="00000000" w:rsidP="00000000" w:rsidRDefault="00000000" w:rsidRPr="00000000" w14:paraId="00000005">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Dural tear (incidental durotomy):</w:t>
      </w:r>
      <w:r w:rsidDel="00000000" w:rsidR="00000000" w:rsidRPr="00000000">
        <w:rPr>
          <w:rFonts w:ascii="Times New Roman" w:cs="Times New Roman" w:eastAsia="Times New Roman" w:hAnsi="Times New Roman"/>
          <w:color w:val="0e0e0e"/>
          <w:sz w:val="23"/>
          <w:szCs w:val="23"/>
          <w:rtl w:val="0"/>
        </w:rPr>
        <w:t xml:space="preserve"> 3–9%.</w:t>
      </w:r>
      <w:r w:rsidDel="00000000" w:rsidR="00000000" w:rsidRPr="00000000">
        <w:rPr>
          <w:rFonts w:ascii="Times New Roman" w:cs="Times New Roman" w:eastAsia="Times New Roman" w:hAnsi="Times New Roman"/>
          <w:color w:val="0000ff"/>
          <w:sz w:val="23"/>
          <w:szCs w:val="23"/>
          <w:rtl w:val="0"/>
        </w:rPr>
        <w:t xml:space="preserve">[2][4][5][6]</w:t>
      </w:r>
    </w:p>
    <w:p w:rsidR="00000000" w:rsidDel="00000000" w:rsidP="00000000" w:rsidRDefault="00000000" w:rsidRPr="00000000" w14:paraId="00000006">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Wound complications (infection, dehiscence, seroma):</w:t>
      </w:r>
      <w:r w:rsidDel="00000000" w:rsidR="00000000" w:rsidRPr="00000000">
        <w:rPr>
          <w:rFonts w:ascii="Times New Roman" w:cs="Times New Roman" w:eastAsia="Times New Roman" w:hAnsi="Times New Roman"/>
          <w:color w:val="0e0e0e"/>
          <w:sz w:val="23"/>
          <w:szCs w:val="23"/>
          <w:rtl w:val="0"/>
        </w:rPr>
        <w:t xml:space="preserve"> 0.6–2%.</w:t>
      </w:r>
      <w:r w:rsidDel="00000000" w:rsidR="00000000" w:rsidRPr="00000000">
        <w:rPr>
          <w:rFonts w:ascii="Times New Roman" w:cs="Times New Roman" w:eastAsia="Times New Roman" w:hAnsi="Times New Roman"/>
          <w:color w:val="0000ff"/>
          <w:sz w:val="23"/>
          <w:szCs w:val="23"/>
          <w:rtl w:val="0"/>
        </w:rPr>
        <w:t xml:space="preserve">[2][6][7]</w:t>
      </w:r>
    </w:p>
    <w:p w:rsidR="00000000" w:rsidDel="00000000" w:rsidP="00000000" w:rsidRDefault="00000000" w:rsidRPr="00000000" w14:paraId="00000007">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Hematoma/hemorrhage:</w:t>
      </w:r>
      <w:r w:rsidDel="00000000" w:rsidR="00000000" w:rsidRPr="00000000">
        <w:rPr>
          <w:rFonts w:ascii="Times New Roman" w:cs="Times New Roman" w:eastAsia="Times New Roman" w:hAnsi="Times New Roman"/>
          <w:color w:val="0e0e0e"/>
          <w:sz w:val="23"/>
          <w:szCs w:val="23"/>
          <w:rtl w:val="0"/>
        </w:rPr>
        <w:t xml:space="preserve"> 0.5–5.2%.</w:t>
      </w:r>
      <w:r w:rsidDel="00000000" w:rsidR="00000000" w:rsidRPr="00000000">
        <w:rPr>
          <w:rFonts w:ascii="Times New Roman" w:cs="Times New Roman" w:eastAsia="Times New Roman" w:hAnsi="Times New Roman"/>
          <w:color w:val="0000ff"/>
          <w:sz w:val="23"/>
          <w:szCs w:val="23"/>
          <w:rtl w:val="0"/>
        </w:rPr>
        <w:t xml:space="preserve">[2][3][8]</w:t>
      </w:r>
    </w:p>
    <w:p w:rsidR="00000000" w:rsidDel="00000000" w:rsidP="00000000" w:rsidRDefault="00000000" w:rsidRPr="00000000" w14:paraId="00000008">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New or worsening neurological deficit:</w:t>
      </w:r>
      <w:r w:rsidDel="00000000" w:rsidR="00000000" w:rsidRPr="00000000">
        <w:rPr>
          <w:rFonts w:ascii="Times New Roman" w:cs="Times New Roman" w:eastAsia="Times New Roman" w:hAnsi="Times New Roman"/>
          <w:color w:val="0e0e0e"/>
          <w:sz w:val="23"/>
          <w:szCs w:val="23"/>
          <w:rtl w:val="0"/>
        </w:rPr>
        <w:t xml:space="preserve"> 1–3%.</w:t>
      </w:r>
      <w:r w:rsidDel="00000000" w:rsidR="00000000" w:rsidRPr="00000000">
        <w:rPr>
          <w:rFonts w:ascii="Times New Roman" w:cs="Times New Roman" w:eastAsia="Times New Roman" w:hAnsi="Times New Roman"/>
          <w:color w:val="0000ff"/>
          <w:sz w:val="23"/>
          <w:szCs w:val="23"/>
          <w:rtl w:val="0"/>
        </w:rPr>
        <w:t xml:space="preserve">[9]</w:t>
      </w:r>
    </w:p>
    <w:p w:rsidR="00000000" w:rsidDel="00000000" w:rsidP="00000000" w:rsidRDefault="00000000" w:rsidRPr="00000000" w14:paraId="00000009">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Direct nerve root injury:</w:t>
      </w:r>
      <w:r w:rsidDel="00000000" w:rsidR="00000000" w:rsidRPr="00000000">
        <w:rPr>
          <w:rFonts w:ascii="Times New Roman" w:cs="Times New Roman" w:eastAsia="Times New Roman" w:hAnsi="Times New Roman"/>
          <w:color w:val="0e0e0e"/>
          <w:sz w:val="23"/>
          <w:szCs w:val="23"/>
          <w:rtl w:val="0"/>
        </w:rPr>
        <w:t xml:space="preserve"> 1–2.6%.</w:t>
      </w:r>
      <w:r w:rsidDel="00000000" w:rsidR="00000000" w:rsidRPr="00000000">
        <w:rPr>
          <w:rFonts w:ascii="Times New Roman" w:cs="Times New Roman" w:eastAsia="Times New Roman" w:hAnsi="Times New Roman"/>
          <w:color w:val="0000ff"/>
          <w:sz w:val="23"/>
          <w:szCs w:val="23"/>
          <w:rtl w:val="0"/>
        </w:rPr>
        <w:t xml:space="preserve">[9]</w:t>
      </w:r>
    </w:p>
    <w:p w:rsidR="00000000" w:rsidDel="00000000" w:rsidP="00000000" w:rsidRDefault="00000000" w:rsidRPr="00000000" w14:paraId="0000000A">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Reoperation (within 2 years):</w:t>
      </w:r>
      <w:r w:rsidDel="00000000" w:rsidR="00000000" w:rsidRPr="00000000">
        <w:rPr>
          <w:rFonts w:ascii="Times New Roman" w:cs="Times New Roman" w:eastAsia="Times New Roman" w:hAnsi="Times New Roman"/>
          <w:color w:val="0e0e0e"/>
          <w:sz w:val="23"/>
          <w:szCs w:val="23"/>
          <w:rtl w:val="0"/>
        </w:rPr>
        <w:t xml:space="preserve"> 14.9% for laminotomy, including for recurrent stenosis or adjacent level disease.</w:t>
      </w:r>
      <w:r w:rsidDel="00000000" w:rsidR="00000000" w:rsidRPr="00000000">
        <w:rPr>
          <w:rFonts w:ascii="Times New Roman" w:cs="Times New Roman" w:eastAsia="Times New Roman" w:hAnsi="Times New Roman"/>
          <w:color w:val="0000ff"/>
          <w:sz w:val="23"/>
          <w:szCs w:val="23"/>
          <w:rtl w:val="0"/>
        </w:rPr>
        <w:t xml:space="preserve">[1][2]</w:t>
      </w:r>
    </w:p>
    <w:p w:rsidR="00000000" w:rsidDel="00000000" w:rsidP="00000000" w:rsidRDefault="00000000" w:rsidRPr="00000000" w14:paraId="0000000B">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Readmission (within 90 days):</w:t>
      </w:r>
      <w:r w:rsidDel="00000000" w:rsidR="00000000" w:rsidRPr="00000000">
        <w:rPr>
          <w:rFonts w:ascii="Times New Roman" w:cs="Times New Roman" w:eastAsia="Times New Roman" w:hAnsi="Times New Roman"/>
          <w:color w:val="0e0e0e"/>
          <w:sz w:val="23"/>
          <w:szCs w:val="23"/>
          <w:rtl w:val="0"/>
        </w:rPr>
        <w:t xml:space="preserve"> 2.4%.</w:t>
      </w:r>
      <w:r w:rsidDel="00000000" w:rsidR="00000000" w:rsidRPr="00000000">
        <w:rPr>
          <w:rFonts w:ascii="Times New Roman" w:cs="Times New Roman" w:eastAsia="Times New Roman" w:hAnsi="Times New Roman"/>
          <w:color w:val="0000ff"/>
          <w:sz w:val="23"/>
          <w:szCs w:val="23"/>
          <w:rtl w:val="0"/>
        </w:rPr>
        <w:t xml:space="preserve">[1]</w:t>
      </w:r>
    </w:p>
    <w:p w:rsidR="00000000" w:rsidDel="00000000" w:rsidP="00000000" w:rsidRDefault="00000000" w:rsidRPr="00000000" w14:paraId="0000000C">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Deep infection:</w:t>
      </w:r>
      <w:r w:rsidDel="00000000" w:rsidR="00000000" w:rsidRPr="00000000">
        <w:rPr>
          <w:rFonts w:ascii="Times New Roman" w:cs="Times New Roman" w:eastAsia="Times New Roman" w:hAnsi="Times New Roman"/>
          <w:color w:val="0e0e0e"/>
          <w:sz w:val="23"/>
          <w:szCs w:val="23"/>
          <w:rtl w:val="0"/>
        </w:rPr>
        <w:t xml:space="preserve"> 0.37%.</w:t>
      </w:r>
      <w:r w:rsidDel="00000000" w:rsidR="00000000" w:rsidRPr="00000000">
        <w:rPr>
          <w:rFonts w:ascii="Times New Roman" w:cs="Times New Roman" w:eastAsia="Times New Roman" w:hAnsi="Times New Roman"/>
          <w:color w:val="0000ff"/>
          <w:sz w:val="23"/>
          <w:szCs w:val="23"/>
          <w:rtl w:val="0"/>
        </w:rPr>
        <w:t xml:space="preserve">[7]</w:t>
      </w:r>
    </w:p>
    <w:p w:rsidR="00000000" w:rsidDel="00000000" w:rsidP="00000000" w:rsidRDefault="00000000" w:rsidRPr="00000000" w14:paraId="0000000D">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Wrong level surgery:</w:t>
      </w:r>
      <w:r w:rsidDel="00000000" w:rsidR="00000000" w:rsidRPr="00000000">
        <w:rPr>
          <w:rFonts w:ascii="Times New Roman" w:cs="Times New Roman" w:eastAsia="Times New Roman" w:hAnsi="Times New Roman"/>
          <w:color w:val="0e0e0e"/>
          <w:sz w:val="23"/>
          <w:szCs w:val="23"/>
          <w:rtl w:val="0"/>
        </w:rPr>
        <w:t xml:space="preserve"> 0.74%.</w:t>
      </w:r>
      <w:r w:rsidDel="00000000" w:rsidR="00000000" w:rsidRPr="00000000">
        <w:rPr>
          <w:rFonts w:ascii="Times New Roman" w:cs="Times New Roman" w:eastAsia="Times New Roman" w:hAnsi="Times New Roman"/>
          <w:color w:val="0000ff"/>
          <w:sz w:val="23"/>
          <w:szCs w:val="23"/>
          <w:rtl w:val="0"/>
        </w:rPr>
        <w:t xml:space="preserve">[5][7]</w:t>
      </w:r>
    </w:p>
    <w:p w:rsidR="00000000" w:rsidDel="00000000" w:rsidP="00000000" w:rsidRDefault="00000000" w:rsidRPr="00000000" w14:paraId="0000000E">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Death:</w:t>
      </w:r>
      <w:r w:rsidDel="00000000" w:rsidR="00000000" w:rsidRPr="00000000">
        <w:rPr>
          <w:rFonts w:ascii="Times New Roman" w:cs="Times New Roman" w:eastAsia="Times New Roman" w:hAnsi="Times New Roman"/>
          <w:color w:val="0e0e0e"/>
          <w:sz w:val="23"/>
          <w:szCs w:val="23"/>
          <w:rtl w:val="0"/>
        </w:rPr>
        <w:t xml:space="preserve"> 0.06–0.17% (higher in elderly with comorbidities).</w:t>
      </w:r>
      <w:r w:rsidDel="00000000" w:rsidR="00000000" w:rsidRPr="00000000">
        <w:rPr>
          <w:rFonts w:ascii="Times New Roman" w:cs="Times New Roman" w:eastAsia="Times New Roman" w:hAnsi="Times New Roman"/>
          <w:color w:val="0000ff"/>
          <w:sz w:val="23"/>
          <w:szCs w:val="23"/>
          <w:rtl w:val="0"/>
        </w:rPr>
        <w:t xml:space="preserve">[3]</w:t>
      </w:r>
    </w:p>
    <w:p w:rsidR="00000000" w:rsidDel="00000000" w:rsidP="00000000" w:rsidRDefault="00000000" w:rsidRPr="00000000" w14:paraId="0000000F">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Thromboembolism (DVT/PE):</w:t>
      </w:r>
      <w:r w:rsidDel="00000000" w:rsidR="00000000" w:rsidRPr="00000000">
        <w:rPr>
          <w:rFonts w:ascii="Times New Roman" w:cs="Times New Roman" w:eastAsia="Times New Roman" w:hAnsi="Times New Roman"/>
          <w:color w:val="0e0e0e"/>
          <w:sz w:val="23"/>
          <w:szCs w:val="23"/>
          <w:rtl w:val="0"/>
        </w:rPr>
        <w:t xml:space="preserve"> 0.047–0.138%.</w:t>
      </w:r>
      <w:r w:rsidDel="00000000" w:rsidR="00000000" w:rsidRPr="00000000">
        <w:rPr>
          <w:rFonts w:ascii="Times New Roman" w:cs="Times New Roman" w:eastAsia="Times New Roman" w:hAnsi="Times New Roman"/>
          <w:color w:val="0000ff"/>
          <w:sz w:val="23"/>
          <w:szCs w:val="23"/>
          <w:rtl w:val="0"/>
        </w:rPr>
        <w:t xml:space="preserve">[5]</w:t>
      </w:r>
    </w:p>
    <w:p w:rsidR="00000000" w:rsidDel="00000000" w:rsidP="00000000" w:rsidRDefault="00000000" w:rsidRPr="00000000" w14:paraId="00000010">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 </w:t>
      </w:r>
      <w:r w:rsidDel="00000000" w:rsidR="00000000" w:rsidRPr="00000000">
        <w:rPr>
          <w:rFonts w:ascii="Times New Roman" w:cs="Times New Roman" w:eastAsia="Times New Roman" w:hAnsi="Times New Roman"/>
          <w:b w:val="1"/>
          <w:color w:val="0e0e0e"/>
          <w:sz w:val="23"/>
          <w:szCs w:val="23"/>
          <w:rtl w:val="0"/>
        </w:rPr>
        <w:t xml:space="preserve">Renal complications:</w:t>
      </w:r>
      <w:r w:rsidDel="00000000" w:rsidR="00000000" w:rsidRPr="00000000">
        <w:rPr>
          <w:rFonts w:ascii="Times New Roman" w:cs="Times New Roman" w:eastAsia="Times New Roman" w:hAnsi="Times New Roman"/>
          <w:color w:val="0e0e0e"/>
          <w:sz w:val="23"/>
          <w:szCs w:val="23"/>
          <w:rtl w:val="0"/>
        </w:rPr>
        <w:t xml:space="preserve"> 2.8% in elderly.</w:t>
      </w:r>
      <w:r w:rsidDel="00000000" w:rsidR="00000000" w:rsidRPr="00000000">
        <w:rPr>
          <w:rFonts w:ascii="Times New Roman" w:cs="Times New Roman" w:eastAsia="Times New Roman" w:hAnsi="Times New Roman"/>
          <w:color w:val="0000ff"/>
          <w:sz w:val="23"/>
          <w:szCs w:val="23"/>
          <w:rtl w:val="0"/>
        </w:rPr>
        <w:t xml:space="preserve">[3]</w:t>
      </w:r>
    </w:p>
    <w:p w:rsidR="00000000" w:rsidDel="00000000" w:rsidP="00000000" w:rsidRDefault="00000000" w:rsidRPr="00000000" w14:paraId="00000011">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e0e0e"/>
          <w:sz w:val="23"/>
          <w:szCs w:val="23"/>
          <w:rtl w:val="0"/>
        </w:rPr>
        <w:t xml:space="preserve">Complication and mortality rates increase with age and comorbidities, with rates up to 18.9% and 1.4% respectively in patients over 85 with multiple comorbidities.</w:t>
      </w:r>
      <w:r w:rsidDel="00000000" w:rsidR="00000000" w:rsidRPr="00000000">
        <w:rPr>
          <w:rFonts w:ascii="Times New Roman" w:cs="Times New Roman" w:eastAsia="Times New Roman" w:hAnsi="Times New Roman"/>
          <w:color w:val="0000ff"/>
          <w:sz w:val="23"/>
          <w:szCs w:val="23"/>
          <w:rtl w:val="0"/>
        </w:rPr>
        <w:t xml:space="preserve">[3]</w:t>
      </w:r>
      <w:r w:rsidDel="00000000" w:rsidR="00000000" w:rsidRPr="00000000">
        <w:rPr>
          <w:rFonts w:ascii="Times New Roman" w:cs="Times New Roman" w:eastAsia="Times New Roman" w:hAnsi="Times New Roman"/>
          <w:color w:val="0e0e0e"/>
          <w:sz w:val="23"/>
          <w:szCs w:val="23"/>
          <w:rtl w:val="0"/>
        </w:rPr>
        <w:t xml:space="preserve"> Minimally invasive and endoscopic techniques may reduce infection risk and blood loss, but have similar or slightly higher rates of dural tear and reherniation compared to open procedures.</w:t>
      </w:r>
      <w:r w:rsidDel="00000000" w:rsidR="00000000" w:rsidRPr="00000000">
        <w:rPr>
          <w:rFonts w:ascii="Times New Roman" w:cs="Times New Roman" w:eastAsia="Times New Roman" w:hAnsi="Times New Roman"/>
          <w:color w:val="0000ff"/>
          <w:sz w:val="23"/>
          <w:szCs w:val="23"/>
          <w:rtl w:val="0"/>
        </w:rPr>
        <w:t xml:space="preserve">[2][4][6][8]</w:t>
      </w:r>
    </w:p>
    <w:tbl>
      <w:tblPr>
        <w:tblStyle w:val="Table1"/>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1830"/>
        <w:gridCol w:w="3060"/>
        <w:gridCol w:w="1335"/>
        <w:tblGridChange w:id="0">
          <w:tblGrid>
            <w:gridCol w:w="2745"/>
            <w:gridCol w:w="1830"/>
            <w:gridCol w:w="3060"/>
            <w:gridCol w:w="1335"/>
          </w:tblGrid>
        </w:tblGridChange>
      </w:tblGrid>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2">
            <w:pPr>
              <w:spacing w:after="200" w:line="301.09090909090907" w:lineRule="auto"/>
              <w:rPr>
                <w:rFonts w:ascii="Times New Roman" w:cs="Times New Roman" w:eastAsia="Times New Roman" w:hAnsi="Times New Roman"/>
                <w:b w:val="1"/>
                <w:color w:val="0e0e0e"/>
              </w:rPr>
            </w:pPr>
            <w:r w:rsidDel="00000000" w:rsidR="00000000" w:rsidRPr="00000000">
              <w:rPr>
                <w:rFonts w:ascii="Times New Roman" w:cs="Times New Roman" w:eastAsia="Times New Roman" w:hAnsi="Times New Roman"/>
                <w:b w:val="1"/>
                <w:color w:val="0e0e0e"/>
                <w:rtl w:val="0"/>
              </w:rPr>
              <w:t xml:space="preserve">Complication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3">
            <w:pPr>
              <w:spacing w:after="200" w:line="301.09090909090907" w:lineRule="auto"/>
              <w:rPr>
                <w:rFonts w:ascii="Times New Roman" w:cs="Times New Roman" w:eastAsia="Times New Roman" w:hAnsi="Times New Roman"/>
                <w:b w:val="1"/>
                <w:color w:val="0e0e0e"/>
              </w:rPr>
            </w:pPr>
            <w:r w:rsidDel="00000000" w:rsidR="00000000" w:rsidRPr="00000000">
              <w:rPr>
                <w:rFonts w:ascii="Times New Roman" w:cs="Times New Roman" w:eastAsia="Times New Roman" w:hAnsi="Times New Roman"/>
                <w:b w:val="1"/>
                <w:color w:val="0e0e0e"/>
                <w:rtl w:val="0"/>
              </w:rPr>
              <w:t xml:space="preserve">Estimated Incidence (%)</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4">
            <w:pPr>
              <w:spacing w:after="200" w:line="301.09090909090907" w:lineRule="auto"/>
              <w:rPr>
                <w:rFonts w:ascii="Times New Roman" w:cs="Times New Roman" w:eastAsia="Times New Roman" w:hAnsi="Times New Roman"/>
                <w:b w:val="1"/>
                <w:color w:val="0e0e0e"/>
              </w:rPr>
            </w:pPr>
            <w:r w:rsidDel="00000000" w:rsidR="00000000" w:rsidRPr="00000000">
              <w:rPr>
                <w:rFonts w:ascii="Times New Roman" w:cs="Times New Roman" w:eastAsia="Times New Roman" w:hAnsi="Times New Roman"/>
                <w:b w:val="1"/>
                <w:color w:val="0e0e0e"/>
                <w:rtl w:val="0"/>
              </w:rPr>
              <w:t xml:space="preserve">Notes/Details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5">
            <w:pPr>
              <w:spacing w:after="200" w:line="301.09090909090907" w:lineRule="auto"/>
              <w:rPr>
                <w:rFonts w:ascii="Times New Roman" w:cs="Times New Roman" w:eastAsia="Times New Roman" w:hAnsi="Times New Roman"/>
                <w:b w:val="1"/>
                <w:color w:val="0e0e0e"/>
              </w:rPr>
            </w:pPr>
            <w:r w:rsidDel="00000000" w:rsidR="00000000" w:rsidRPr="00000000">
              <w:rPr>
                <w:rFonts w:ascii="Times New Roman" w:cs="Times New Roman" w:eastAsia="Times New Roman" w:hAnsi="Times New Roman"/>
                <w:b w:val="1"/>
                <w:color w:val="0e0e0e"/>
                <w:rtl w:val="0"/>
              </w:rPr>
              <w:t xml:space="preserve">References</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6">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Any complication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7">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10–18</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8">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Higher in elderly/comorbidities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9">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[1][2][7]</w:t>
            </w:r>
          </w:p>
        </w:tc>
      </w:tr>
      <w:tr>
        <w:trPr>
          <w:cantSplit w:val="0"/>
          <w:trHeight w:val="124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A">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Dural tear/incidental durotomy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B">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3–9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C">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Higher in endoscopic/minimally invasive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D">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[3][4][7][9]</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E">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Wound complications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F">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0.6–2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0">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Infection, dehiscence, seroma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1">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[5][7][9]</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2">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Hematoma/hemorrhage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3">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0.5–5.2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4">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5">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[2][6][7]</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6">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Neurological deficit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7">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1–3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8">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New or worsening</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9">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[8]</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A">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Direct nerve root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B">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1–2.6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C">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D">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[8]</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E">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Reoperation (2 years)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F">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14.9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0">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Includes recurrent stenosis, adjacent level</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1">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[1][7]</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2">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Readmission (90 days)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3">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2.4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4">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5">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[1]</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6">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Deep infection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7">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0.37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8">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9">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[5]</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A">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Wrong level surgery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B">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0.74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C">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D">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[4][5]</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E">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Death</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F">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0.06–0.17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0">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Higher in elderly/comorbidities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1">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[2]</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2">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Thromboembolism (DVT/PE)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3">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0.047–0.138</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4">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Per 1000 cases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5">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[4]</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Renal complications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2.8</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8">
            <w:pPr>
              <w:spacing w:after="200" w:line="301.09090909090907" w:lineRule="auto"/>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Elderly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9">
            <w:pPr>
              <w:spacing w:after="200" w:line="301.09090909090907"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[2]</w:t>
            </w:r>
          </w:p>
        </w:tc>
      </w:tr>
    </w:tbl>
    <w:p w:rsidR="00000000" w:rsidDel="00000000" w:rsidP="00000000" w:rsidRDefault="00000000" w:rsidRPr="00000000" w14:paraId="0000004A">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By signing below, the patient acknowledges understanding of the above risks, their estimated incidence, and the potential for both common and rare complications associated with lumbar laminectomy or laminotomy. All questions have been answered to the patient's satisfaction.</w:t>
      </w:r>
    </w:p>
    <w:p w:rsidR="00000000" w:rsidDel="00000000" w:rsidP="00000000" w:rsidRDefault="00000000" w:rsidRPr="00000000" w14:paraId="0000004B">
      <w:pPr>
        <w:spacing w:after="200" w:line="301.09090909090907" w:lineRule="auto"/>
        <w:rPr>
          <w:rFonts w:ascii="Times New Roman" w:cs="Times New Roman" w:eastAsia="Times New Roman" w:hAnsi="Times New Roman"/>
          <w:b w:val="1"/>
          <w:color w:val="0e0e0e"/>
          <w:sz w:val="23"/>
          <w:szCs w:val="23"/>
        </w:rPr>
      </w:pPr>
      <w:r w:rsidDel="00000000" w:rsidR="00000000" w:rsidRPr="00000000">
        <w:rPr>
          <w:rFonts w:ascii="Times New Roman" w:cs="Times New Roman" w:eastAsia="Times New Roman" w:hAnsi="Times New Roman"/>
          <w:b w:val="1"/>
          <w:color w:val="0e0e0e"/>
          <w:sz w:val="23"/>
          <w:szCs w:val="23"/>
          <w:rtl w:val="0"/>
        </w:rPr>
        <w:t xml:space="preserve">Signature: ________________________ Date: ________</w:t>
      </w:r>
    </w:p>
    <w:p w:rsidR="00000000" w:rsidDel="00000000" w:rsidP="00000000" w:rsidRDefault="00000000" w:rsidRPr="00000000" w14:paraId="0000004C">
      <w:pPr>
        <w:spacing w:after="200" w:line="301.09090909090907" w:lineRule="auto"/>
        <w:rPr>
          <w:rFonts w:ascii="Times New Roman" w:cs="Times New Roman" w:eastAsia="Times New Roman" w:hAnsi="Times New Roman"/>
          <w:b w:val="1"/>
          <w:color w:val="0e0e0e"/>
          <w:sz w:val="23"/>
          <w:szCs w:val="23"/>
        </w:rPr>
      </w:pPr>
      <w:r w:rsidDel="00000000" w:rsidR="00000000" w:rsidRPr="00000000">
        <w:rPr>
          <w:rFonts w:ascii="Times New Roman" w:cs="Times New Roman" w:eastAsia="Times New Roman" w:hAnsi="Times New Roman"/>
          <w:b w:val="1"/>
          <w:sz w:val="23"/>
          <w:szCs w:val="23"/>
          <w:rtl w:val="0"/>
        </w:rPr>
        <w:t xml:space="preserve">Patient Name: _____________________________  DOB:_________</w:t>
      </w:r>
      <w:r w:rsidDel="00000000" w:rsidR="00000000" w:rsidRPr="00000000">
        <w:rPr>
          <w:rtl w:val="0"/>
        </w:rPr>
      </w:r>
    </w:p>
    <w:p w:rsidR="00000000" w:rsidDel="00000000" w:rsidP="00000000" w:rsidRDefault="00000000" w:rsidRPr="00000000" w14:paraId="0000004D">
      <w:pPr>
        <w:pStyle w:val="Heading1"/>
        <w:keepNext w:val="0"/>
        <w:keepLines w:val="0"/>
        <w:spacing w:after="280" w:before="480" w:line="191.9997391304348" w:lineRule="auto"/>
        <w:rPr>
          <w:rFonts w:ascii="Times New Roman" w:cs="Times New Roman" w:eastAsia="Times New Roman" w:hAnsi="Times New Roman"/>
          <w:b w:val="1"/>
          <w:color w:val="0e0e0e"/>
          <w:sz w:val="28"/>
          <w:szCs w:val="28"/>
        </w:rPr>
      </w:pPr>
      <w:bookmarkStart w:colFirst="0" w:colLast="0" w:name="_2939lyvzoynp" w:id="2"/>
      <w:bookmarkEnd w:id="2"/>
      <w:r w:rsidDel="00000000" w:rsidR="00000000" w:rsidRPr="00000000">
        <w:rPr>
          <w:rFonts w:ascii="Times New Roman" w:cs="Times New Roman" w:eastAsia="Times New Roman" w:hAnsi="Times New Roman"/>
          <w:b w:val="1"/>
          <w:color w:val="0e0e0e"/>
          <w:sz w:val="28"/>
          <w:szCs w:val="28"/>
          <w:rtl w:val="0"/>
        </w:rPr>
        <w:t xml:space="preserve">References</w:t>
      </w:r>
    </w:p>
    <w:p w:rsidR="00000000" w:rsidDel="00000000" w:rsidP="00000000" w:rsidRDefault="00000000" w:rsidRPr="00000000" w14:paraId="0000004E">
      <w:pPr>
        <w:spacing w:line="301.09090909090907" w:lineRule="auto"/>
        <w:ind w:left="720" w:firstLine="0"/>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1.</w:t>
      </w:r>
      <w:r w:rsidDel="00000000" w:rsidR="00000000" w:rsidRPr="00000000">
        <w:rPr>
          <w:rFonts w:ascii="Times New Roman" w:cs="Times New Roman" w:eastAsia="Times New Roman" w:hAnsi="Times New Roman"/>
          <w:color w:val="0e0e0e"/>
          <w:sz w:val="12"/>
          <w:szCs w:val="12"/>
          <w:rtl w:val="0"/>
        </w:rPr>
        <w:t xml:space="preserve"> </w:t>
        <w:tab/>
      </w:r>
      <w:hyperlink r:id="rId6">
        <w:r w:rsidDel="00000000" w:rsidR="00000000" w:rsidRPr="00000000">
          <w:rPr>
            <w:rFonts w:ascii="Times New Roman" w:cs="Times New Roman" w:eastAsia="Times New Roman" w:hAnsi="Times New Roman"/>
            <w:color w:val="0000ff"/>
            <w:u w:val="single"/>
            <w:rtl w:val="0"/>
          </w:rPr>
          <w:t xml:space="preserve">Patient Outcomes After Laminotomy, Hemilaminectomy, Laminectomy and Laminectomy With Instrumented Fusion for Spinal Canal Stenosis: A Propensity Score-Based Study From the Spine Tango Registry.</w:t>
        </w:r>
      </w:hyperlink>
      <w:r w:rsidDel="00000000" w:rsidR="00000000" w:rsidRPr="00000000">
        <w:rPr>
          <w:rFonts w:ascii="Times New Roman" w:cs="Times New Roman" w:eastAsia="Times New Roman" w:hAnsi="Times New Roman"/>
          <w:color w:val="0e0e0e"/>
          <w:rtl w:val="0"/>
        </w:rPr>
        <w:t xml:space="preserve"> Munting E, Röder C, Sobottke R, Dietrich D, Aghayev E. European Spine Journal : Official Publication of the European Spine Society, the European Spinal Deformity Society, and the European Section of the Cervical Spine Research Society. 2015;24(2):358-68. doi:10.1007/s00586-014-3349-0.</w:t>
      </w:r>
    </w:p>
    <w:p w:rsidR="00000000" w:rsidDel="00000000" w:rsidP="00000000" w:rsidRDefault="00000000" w:rsidRPr="00000000" w14:paraId="0000004F">
      <w:pPr>
        <w:spacing w:line="301.09090909090907" w:lineRule="auto"/>
        <w:ind w:left="720" w:firstLine="0"/>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2.</w:t>
      </w:r>
      <w:r w:rsidDel="00000000" w:rsidR="00000000" w:rsidRPr="00000000">
        <w:rPr>
          <w:rFonts w:ascii="Times New Roman" w:cs="Times New Roman" w:eastAsia="Times New Roman" w:hAnsi="Times New Roman"/>
          <w:color w:val="0e0e0e"/>
          <w:sz w:val="12"/>
          <w:szCs w:val="12"/>
          <w:rtl w:val="0"/>
        </w:rPr>
        <w:t xml:space="preserve"> </w:t>
        <w:tab/>
      </w:r>
      <w:hyperlink r:id="rId7">
        <w:r w:rsidDel="00000000" w:rsidR="00000000" w:rsidRPr="00000000">
          <w:rPr>
            <w:rFonts w:ascii="Times New Roman" w:cs="Times New Roman" w:eastAsia="Times New Roman" w:hAnsi="Times New Roman"/>
            <w:color w:val="0000ff"/>
            <w:u w:val="single"/>
            <w:rtl w:val="0"/>
          </w:rPr>
          <w:t xml:space="preserve">Unilateral Laminotomy With Bilateral Spinal Canal Decompression: Systematic Review of Outcomes and Complications.</w:t>
        </w:r>
      </w:hyperlink>
      <w:r w:rsidDel="00000000" w:rsidR="00000000" w:rsidRPr="00000000">
        <w:rPr>
          <w:rFonts w:ascii="Times New Roman" w:cs="Times New Roman" w:eastAsia="Times New Roman" w:hAnsi="Times New Roman"/>
          <w:color w:val="0e0e0e"/>
          <w:rtl w:val="0"/>
        </w:rPr>
        <w:t xml:space="preserve"> Algarni N, Al-Amoodi M, Marwan Y, et al. BMC Musculoskeletal Disorders. 2023;24(1):904. doi:10.1186/s12891-023-07033-1.</w:t>
      </w:r>
    </w:p>
    <w:p w:rsidR="00000000" w:rsidDel="00000000" w:rsidP="00000000" w:rsidRDefault="00000000" w:rsidRPr="00000000" w14:paraId="00000050">
      <w:pPr>
        <w:spacing w:line="301.09090909090907" w:lineRule="auto"/>
        <w:ind w:left="720" w:firstLine="0"/>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3.</w:t>
      </w:r>
      <w:r w:rsidDel="00000000" w:rsidR="00000000" w:rsidRPr="00000000">
        <w:rPr>
          <w:rFonts w:ascii="Times New Roman" w:cs="Times New Roman" w:eastAsia="Times New Roman" w:hAnsi="Times New Roman"/>
          <w:color w:val="0e0e0e"/>
          <w:sz w:val="12"/>
          <w:szCs w:val="12"/>
          <w:rtl w:val="0"/>
        </w:rPr>
        <w:t xml:space="preserve"> </w:t>
        <w:tab/>
      </w:r>
      <w:hyperlink r:id="rId8">
        <w:r w:rsidDel="00000000" w:rsidR="00000000" w:rsidRPr="00000000">
          <w:rPr>
            <w:rFonts w:ascii="Times New Roman" w:cs="Times New Roman" w:eastAsia="Times New Roman" w:hAnsi="Times New Roman"/>
            <w:color w:val="0000ff"/>
            <w:u w:val="single"/>
            <w:rtl w:val="0"/>
          </w:rPr>
          <w:t xml:space="preserve">Effects of Age and Comorbidities on Complication Rates and Adverse Outcomes After Lumbar Laminectomy in Elderly Patients.</w:t>
        </w:r>
      </w:hyperlink>
      <w:r w:rsidDel="00000000" w:rsidR="00000000" w:rsidRPr="00000000">
        <w:rPr>
          <w:rFonts w:ascii="Times New Roman" w:cs="Times New Roman" w:eastAsia="Times New Roman" w:hAnsi="Times New Roman"/>
          <w:color w:val="0e0e0e"/>
          <w:rtl w:val="0"/>
        </w:rPr>
        <w:t xml:space="preserve"> Li G, Patil CG, Lad SP, et al. Spine. 2008;33(11):1250-5. doi:10.1097/BRS.0b013e3181714a44.</w:t>
      </w:r>
    </w:p>
    <w:p w:rsidR="00000000" w:rsidDel="00000000" w:rsidP="00000000" w:rsidRDefault="00000000" w:rsidRPr="00000000" w14:paraId="00000051">
      <w:pPr>
        <w:spacing w:line="301.09090909090907" w:lineRule="auto"/>
        <w:ind w:left="720" w:firstLine="0"/>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4.</w:t>
      </w:r>
      <w:r w:rsidDel="00000000" w:rsidR="00000000" w:rsidRPr="00000000">
        <w:rPr>
          <w:rFonts w:ascii="Times New Roman" w:cs="Times New Roman" w:eastAsia="Times New Roman" w:hAnsi="Times New Roman"/>
          <w:color w:val="0e0e0e"/>
          <w:sz w:val="12"/>
          <w:szCs w:val="12"/>
          <w:rtl w:val="0"/>
        </w:rPr>
        <w:t xml:space="preserve"> </w:t>
        <w:tab/>
      </w:r>
      <w:hyperlink r:id="rId9">
        <w:r w:rsidDel="00000000" w:rsidR="00000000" w:rsidRPr="00000000">
          <w:rPr>
            <w:rFonts w:ascii="Times New Roman" w:cs="Times New Roman" w:eastAsia="Times New Roman" w:hAnsi="Times New Roman"/>
            <w:color w:val="0000ff"/>
            <w:u w:val="single"/>
            <w:rtl w:val="0"/>
          </w:rPr>
          <w:t xml:space="preserve">Sciatica.</w:t>
        </w:r>
      </w:hyperlink>
      <w:r w:rsidDel="00000000" w:rsidR="00000000" w:rsidRPr="00000000">
        <w:rPr>
          <w:rFonts w:ascii="Times New Roman" w:cs="Times New Roman" w:eastAsia="Times New Roman" w:hAnsi="Times New Roman"/>
          <w:color w:val="0e0e0e"/>
          <w:rtl w:val="0"/>
        </w:rPr>
        <w:t xml:space="preserve"> Ropper AH, Zafonte RD. The New England Journal of Medicine. 2015;372(13):1240-8. doi:10.1056/NEJMra1410151.</w:t>
      </w:r>
    </w:p>
    <w:p w:rsidR="00000000" w:rsidDel="00000000" w:rsidP="00000000" w:rsidRDefault="00000000" w:rsidRPr="00000000" w14:paraId="00000052">
      <w:pPr>
        <w:spacing w:line="301.09090909090907" w:lineRule="auto"/>
        <w:ind w:left="720" w:firstLine="0"/>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5.</w:t>
      </w:r>
      <w:r w:rsidDel="00000000" w:rsidR="00000000" w:rsidRPr="00000000">
        <w:rPr>
          <w:rFonts w:ascii="Times New Roman" w:cs="Times New Roman" w:eastAsia="Times New Roman" w:hAnsi="Times New Roman"/>
          <w:color w:val="0e0e0e"/>
          <w:sz w:val="12"/>
          <w:szCs w:val="12"/>
          <w:rtl w:val="0"/>
        </w:rPr>
        <w:t xml:space="preserve"> </w:t>
        <w:tab/>
      </w:r>
      <w:hyperlink r:id="rId10">
        <w:r w:rsidDel="00000000" w:rsidR="00000000" w:rsidRPr="00000000">
          <w:rPr>
            <w:rFonts w:ascii="Times New Roman" w:cs="Times New Roman" w:eastAsia="Times New Roman" w:hAnsi="Times New Roman"/>
            <w:color w:val="0000ff"/>
            <w:u w:val="single"/>
            <w:rtl w:val="0"/>
          </w:rPr>
          <w:t xml:space="preserve">Incidental Durotomy After Posterior Lumbar Decompression Surgery Associated With Increased Risk for Venous Thromboembolism.</w:t>
        </w:r>
      </w:hyperlink>
      <w:r w:rsidDel="00000000" w:rsidR="00000000" w:rsidRPr="00000000">
        <w:rPr>
          <w:rFonts w:ascii="Times New Roman" w:cs="Times New Roman" w:eastAsia="Times New Roman" w:hAnsi="Times New Roman"/>
          <w:color w:val="0e0e0e"/>
          <w:rtl w:val="0"/>
        </w:rPr>
        <w:t xml:space="preserve"> Gouzoulis MJ, Joo PY, Caruana DL, et al. The Journal of the American Academy of Orthopaedic Surgeons. 2023;31(8):e445-e450. doi:10.5435/JAAOS-D-22-00917.</w:t>
      </w:r>
    </w:p>
    <w:p w:rsidR="00000000" w:rsidDel="00000000" w:rsidP="00000000" w:rsidRDefault="00000000" w:rsidRPr="00000000" w14:paraId="00000053">
      <w:pPr>
        <w:spacing w:line="301.09090909090907" w:lineRule="auto"/>
        <w:ind w:left="720" w:firstLine="0"/>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6.</w:t>
      </w:r>
      <w:r w:rsidDel="00000000" w:rsidR="00000000" w:rsidRPr="00000000">
        <w:rPr>
          <w:rFonts w:ascii="Times New Roman" w:cs="Times New Roman" w:eastAsia="Times New Roman" w:hAnsi="Times New Roman"/>
          <w:color w:val="0e0e0e"/>
          <w:sz w:val="12"/>
          <w:szCs w:val="12"/>
          <w:rtl w:val="0"/>
        </w:rPr>
        <w:t xml:space="preserve"> </w:t>
        <w:tab/>
      </w:r>
      <w:hyperlink r:id="rId11">
        <w:r w:rsidDel="00000000" w:rsidR="00000000" w:rsidRPr="00000000">
          <w:rPr>
            <w:rFonts w:ascii="Times New Roman" w:cs="Times New Roman" w:eastAsia="Times New Roman" w:hAnsi="Times New Roman"/>
            <w:color w:val="0000ff"/>
            <w:u w:val="single"/>
            <w:rtl w:val="0"/>
          </w:rPr>
          <w:t xml:space="preserve">Minimally Invasive Versus Open Laminectomy for Lumbar Stenosis: A Systematic Review and Meta-Analysis.</w:t>
        </w:r>
      </w:hyperlink>
      <w:r w:rsidDel="00000000" w:rsidR="00000000" w:rsidRPr="00000000">
        <w:rPr>
          <w:rFonts w:ascii="Times New Roman" w:cs="Times New Roman" w:eastAsia="Times New Roman" w:hAnsi="Times New Roman"/>
          <w:color w:val="0e0e0e"/>
          <w:rtl w:val="0"/>
        </w:rPr>
        <w:t xml:space="preserve"> Phan K, Mobbs RJ. Spine. 2016;41(2):E91-E100. doi:10.1097/BRS.0000000000001161.</w:t>
      </w:r>
    </w:p>
    <w:p w:rsidR="00000000" w:rsidDel="00000000" w:rsidP="00000000" w:rsidRDefault="00000000" w:rsidRPr="00000000" w14:paraId="00000054">
      <w:pPr>
        <w:spacing w:line="301.09090909090907" w:lineRule="auto"/>
        <w:ind w:left="720" w:firstLine="0"/>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7.</w:t>
      </w:r>
      <w:r w:rsidDel="00000000" w:rsidR="00000000" w:rsidRPr="00000000">
        <w:rPr>
          <w:rFonts w:ascii="Times New Roman" w:cs="Times New Roman" w:eastAsia="Times New Roman" w:hAnsi="Times New Roman"/>
          <w:color w:val="0e0e0e"/>
          <w:sz w:val="12"/>
          <w:szCs w:val="12"/>
          <w:rtl w:val="0"/>
        </w:rPr>
        <w:t xml:space="preserve"> </w:t>
        <w:tab/>
      </w:r>
      <w:hyperlink r:id="rId12">
        <w:r w:rsidDel="00000000" w:rsidR="00000000" w:rsidRPr="00000000">
          <w:rPr>
            <w:rFonts w:ascii="Times New Roman" w:cs="Times New Roman" w:eastAsia="Times New Roman" w:hAnsi="Times New Roman"/>
            <w:color w:val="0000ff"/>
            <w:u w:val="single"/>
            <w:rtl w:val="0"/>
          </w:rPr>
          <w:t xml:space="preserve">Risk Factors for Surgical Site Infection After Lumbar Laminectomy and/or Discectomy for Degenerative Diseases in Adults: A Prospective Multicenter Surveillance Study With Registry of 4027 Cases.</w:t>
        </w:r>
      </w:hyperlink>
      <w:r w:rsidDel="00000000" w:rsidR="00000000" w:rsidRPr="00000000">
        <w:rPr>
          <w:rFonts w:ascii="Times New Roman" w:cs="Times New Roman" w:eastAsia="Times New Roman" w:hAnsi="Times New Roman"/>
          <w:color w:val="0e0e0e"/>
          <w:rtl w:val="0"/>
        </w:rPr>
        <w:t xml:space="preserve"> Ogihara S, Yamazaki T, Inanami H, et al. PloS One. 2018;13(10):e0205539. doi:10.1371/journal.pone.0205539.</w:t>
      </w:r>
    </w:p>
    <w:p w:rsidR="00000000" w:rsidDel="00000000" w:rsidP="00000000" w:rsidRDefault="00000000" w:rsidRPr="00000000" w14:paraId="00000055">
      <w:pPr>
        <w:spacing w:line="301.09090909090907" w:lineRule="auto"/>
        <w:ind w:left="720" w:firstLine="0"/>
        <w:rPr>
          <w:rFonts w:ascii="Times New Roman" w:cs="Times New Roman" w:eastAsia="Times New Roman" w:hAnsi="Times New Roman"/>
          <w:color w:val="0e0e0e"/>
        </w:rPr>
      </w:pPr>
      <w:r w:rsidDel="00000000" w:rsidR="00000000" w:rsidRPr="00000000">
        <w:rPr>
          <w:rFonts w:ascii="Times New Roman" w:cs="Times New Roman" w:eastAsia="Times New Roman" w:hAnsi="Times New Roman"/>
          <w:color w:val="0e0e0e"/>
          <w:rtl w:val="0"/>
        </w:rPr>
        <w:t xml:space="preserve">8.</w:t>
      </w:r>
      <w:r w:rsidDel="00000000" w:rsidR="00000000" w:rsidRPr="00000000">
        <w:rPr>
          <w:rFonts w:ascii="Times New Roman" w:cs="Times New Roman" w:eastAsia="Times New Roman" w:hAnsi="Times New Roman"/>
          <w:color w:val="0e0e0e"/>
          <w:sz w:val="12"/>
          <w:szCs w:val="12"/>
          <w:rtl w:val="0"/>
        </w:rPr>
        <w:t xml:space="preserve"> </w:t>
        <w:tab/>
      </w:r>
      <w:hyperlink r:id="rId13">
        <w:r w:rsidDel="00000000" w:rsidR="00000000" w:rsidRPr="00000000">
          <w:rPr>
            <w:rFonts w:ascii="Times New Roman" w:cs="Times New Roman" w:eastAsia="Times New Roman" w:hAnsi="Times New Roman"/>
            <w:color w:val="0000ff"/>
            <w:u w:val="single"/>
            <w:rtl w:val="0"/>
          </w:rPr>
          <w:t xml:space="preserve">The Incidence of Symptomatic Postoperative Epidural Hematoma After Minimally Invasive Lumbar Decompression: A Single Institution Retrospective Review.</w:t>
        </w:r>
      </w:hyperlink>
      <w:r w:rsidDel="00000000" w:rsidR="00000000" w:rsidRPr="00000000">
        <w:rPr>
          <w:rFonts w:ascii="Times New Roman" w:cs="Times New Roman" w:eastAsia="Times New Roman" w:hAnsi="Times New Roman"/>
          <w:color w:val="0e0e0e"/>
          <w:rtl w:val="0"/>
        </w:rPr>
        <w:t xml:space="preserve"> Mueller K, Altshuler M, Voyadzis JM, Sandhu FA. Clinical Neurology and Neurosurgery. 2020;195:105868. doi:10.1016/j.clineuro.2020.105868.</w:t>
      </w:r>
    </w:p>
    <w:p w:rsidR="00000000" w:rsidDel="00000000" w:rsidP="00000000" w:rsidRDefault="00000000" w:rsidRPr="00000000" w14:paraId="00000056">
      <w:pPr>
        <w:spacing w:line="301.09090909090907" w:lineRule="auto"/>
        <w:ind w:left="720" w:firstLine="0"/>
        <w:rPr>
          <w:color w:val="0e0e0e"/>
          <w:sz w:val="21"/>
          <w:szCs w:val="21"/>
        </w:rPr>
      </w:pPr>
      <w:r w:rsidDel="00000000" w:rsidR="00000000" w:rsidRPr="00000000">
        <w:rPr>
          <w:rFonts w:ascii="Times New Roman" w:cs="Times New Roman" w:eastAsia="Times New Roman" w:hAnsi="Times New Roman"/>
          <w:color w:val="0e0e0e"/>
          <w:rtl w:val="0"/>
        </w:rPr>
        <w:t xml:space="preserve">9.</w:t>
      </w:r>
      <w:r w:rsidDel="00000000" w:rsidR="00000000" w:rsidRPr="00000000">
        <w:rPr>
          <w:rFonts w:ascii="Times New Roman" w:cs="Times New Roman" w:eastAsia="Times New Roman" w:hAnsi="Times New Roman"/>
          <w:color w:val="0e0e0e"/>
          <w:sz w:val="12"/>
          <w:szCs w:val="12"/>
          <w:rtl w:val="0"/>
        </w:rPr>
        <w:t xml:space="preserve"> </w:t>
        <w:tab/>
      </w:r>
      <w:hyperlink r:id="rId14">
        <w:r w:rsidDel="00000000" w:rsidR="00000000" w:rsidRPr="00000000">
          <w:rPr>
            <w:rFonts w:ascii="Times New Roman" w:cs="Times New Roman" w:eastAsia="Times New Roman" w:hAnsi="Times New Roman"/>
            <w:color w:val="0000ff"/>
            <w:u w:val="single"/>
            <w:rtl w:val="0"/>
          </w:rPr>
          <w:t xml:space="preserve">Iatrogenic Neurologic Deficit After Lumbar Spine Surgery: A Review.</w:t>
        </w:r>
      </w:hyperlink>
      <w:r w:rsidDel="00000000" w:rsidR="00000000" w:rsidRPr="00000000">
        <w:rPr>
          <w:rFonts w:ascii="Times New Roman" w:cs="Times New Roman" w:eastAsia="Times New Roman" w:hAnsi="Times New Roman"/>
          <w:color w:val="0e0e0e"/>
          <w:rtl w:val="0"/>
        </w:rPr>
        <w:t xml:space="preserve"> Ghobrial GM, Williams KA, Arnold P, Fehlings M, Harrop JS. Clinical Neurology and Neurosurgery. 2015;139:76-80. doi:10.1016/j.clineuro.2015.08.022.</w:t>
      </w: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5229225</wp:posOffset>
          </wp:positionH>
          <wp:positionV relativeFrom="paragraph">
            <wp:posOffset>-285749</wp:posOffset>
          </wp:positionV>
          <wp:extent cx="1414481" cy="437816"/>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4481" cy="437816"/>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-628649</wp:posOffset>
          </wp:positionH>
          <wp:positionV relativeFrom="paragraph">
            <wp:posOffset>-219074</wp:posOffset>
          </wp:positionV>
          <wp:extent cx="1419225" cy="308527"/>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19225" cy="3085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ubmed.ncbi.nlm.nih.gov/26555839" TargetMode="External"/><Relationship Id="rId10" Type="http://schemas.openxmlformats.org/officeDocument/2006/relationships/hyperlink" Target="https://pubmed.ncbi.nlm.nih.gov/36727948" TargetMode="External"/><Relationship Id="rId13" Type="http://schemas.openxmlformats.org/officeDocument/2006/relationships/hyperlink" Target="https://pubmed.ncbi.nlm.nih.gov/32361024" TargetMode="External"/><Relationship Id="rId12" Type="http://schemas.openxmlformats.org/officeDocument/2006/relationships/hyperlink" Target="https://pubmed.ncbi.nlm.nih.gov/303259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jm.org/doi/full/10.1056/NEJMra1410151" TargetMode="External"/><Relationship Id="rId15" Type="http://schemas.openxmlformats.org/officeDocument/2006/relationships/header" Target="header1.xml"/><Relationship Id="rId14" Type="http://schemas.openxmlformats.org/officeDocument/2006/relationships/hyperlink" Target="https://pubmed.ncbi.nlm.nih.gov/26386902"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pubmed.ncbi.nlm.nih.gov/24840246" TargetMode="External"/><Relationship Id="rId18" Type="http://schemas.openxmlformats.org/officeDocument/2006/relationships/footer" Target="footer1.xml"/><Relationship Id="rId7" Type="http://schemas.openxmlformats.org/officeDocument/2006/relationships/hyperlink" Target="https://pubmed.ncbi.nlm.nih.gov/37990183" TargetMode="External"/><Relationship Id="rId8" Type="http://schemas.openxmlformats.org/officeDocument/2006/relationships/hyperlink" Target="https://pubmed.ncbi.nlm.nih.gov/184697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