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0" w:before="0" w:line="276" w:lineRule="auto"/>
        <w:jc w:val="center"/>
        <w:rPr>
          <w:rFonts w:ascii="Times New Roman" w:cs="Times New Roman" w:eastAsia="Times New Roman" w:hAnsi="Times New Roman"/>
          <w:b w:val="1"/>
          <w:color w:val="0e0e0e"/>
          <w:sz w:val="32"/>
          <w:szCs w:val="32"/>
        </w:rPr>
      </w:pPr>
      <w:bookmarkStart w:colFirst="0" w:colLast="0" w:name="_b3jc0459lkbd" w:id="0"/>
      <w:bookmarkEnd w:id="0"/>
      <w:r w:rsidDel="00000000" w:rsidR="00000000" w:rsidRPr="00000000">
        <w:rPr>
          <w:rFonts w:ascii="Times New Roman" w:cs="Times New Roman" w:eastAsia="Times New Roman" w:hAnsi="Times New Roman"/>
          <w:b w:val="1"/>
          <w:color w:val="0e0e0e"/>
          <w:sz w:val="32"/>
          <w:szCs w:val="32"/>
          <w:rtl w:val="0"/>
        </w:rPr>
        <w:t xml:space="preserve">Lateral Lumbar Interbody Fusion (LLIF)</w:t>
      </w:r>
    </w:p>
    <w:p w:rsidR="00000000" w:rsidDel="00000000" w:rsidP="00000000" w:rsidRDefault="00000000" w:rsidRPr="00000000" w14:paraId="00000002">
      <w:pPr>
        <w:pStyle w:val="Heading1"/>
        <w:keepNext w:val="0"/>
        <w:keepLines w:val="0"/>
        <w:spacing w:after="0" w:before="0" w:line="276" w:lineRule="auto"/>
        <w:jc w:val="center"/>
        <w:rPr>
          <w:rFonts w:ascii="Times New Roman" w:cs="Times New Roman" w:eastAsia="Times New Roman" w:hAnsi="Times New Roman"/>
          <w:b w:val="1"/>
          <w:color w:val="0e0e0e"/>
          <w:sz w:val="32"/>
          <w:szCs w:val="32"/>
        </w:rPr>
      </w:pPr>
      <w:bookmarkStart w:colFirst="0" w:colLast="0" w:name="_zeqnusye3k3" w:id="1"/>
      <w:bookmarkEnd w:id="1"/>
      <w:r w:rsidDel="00000000" w:rsidR="00000000" w:rsidRPr="00000000">
        <w:rPr>
          <w:rFonts w:ascii="Times New Roman" w:cs="Times New Roman" w:eastAsia="Times New Roman" w:hAnsi="Times New Roman"/>
          <w:b w:val="1"/>
          <w:color w:val="0e0e0e"/>
          <w:sz w:val="32"/>
          <w:szCs w:val="32"/>
          <w:rtl w:val="0"/>
        </w:rPr>
        <w:t xml:space="preserve">CONSENT</w:t>
      </w:r>
    </w:p>
    <w:p w:rsidR="00000000" w:rsidDel="00000000" w:rsidP="00000000" w:rsidRDefault="00000000" w:rsidRPr="00000000" w14:paraId="00000003">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This document outlines the risks and potential complication rates associated with </w:t>
      </w:r>
      <w:r w:rsidDel="00000000" w:rsidR="00000000" w:rsidRPr="00000000">
        <w:rPr>
          <w:rFonts w:ascii="Times New Roman" w:cs="Times New Roman" w:eastAsia="Times New Roman" w:hAnsi="Times New Roman"/>
          <w:b w:val="1"/>
          <w:color w:val="0e0e0e"/>
          <w:sz w:val="24"/>
          <w:szCs w:val="24"/>
          <w:rtl w:val="0"/>
        </w:rPr>
        <w:t xml:space="preserve">lateral lumbar interbody fusion (LLIF) with posterior pedicle screw fixation</w:t>
      </w:r>
      <w:r w:rsidDel="00000000" w:rsidR="00000000" w:rsidRPr="00000000">
        <w:rPr>
          <w:rFonts w:ascii="Times New Roman" w:cs="Times New Roman" w:eastAsia="Times New Roman" w:hAnsi="Times New Roman"/>
          <w:color w:val="0e0e0e"/>
          <w:sz w:val="24"/>
          <w:szCs w:val="24"/>
          <w:rtl w:val="0"/>
        </w:rPr>
        <w:t xml:space="preserve">. The following information is based on recent evidence from multicenter studies, systematic reviews, and national surveys.</w:t>
      </w:r>
    </w:p>
    <w:p w:rsidR="00000000" w:rsidDel="00000000" w:rsidP="00000000" w:rsidRDefault="00000000" w:rsidRPr="00000000" w14:paraId="00000004">
      <w:pPr>
        <w:spacing w:after="200" w:line="301.09090909090907" w:lineRule="auto"/>
        <w:rPr>
          <w:rFonts w:ascii="Times New Roman" w:cs="Times New Roman" w:eastAsia="Times New Roman" w:hAnsi="Times New Roman"/>
          <w:b w:val="1"/>
          <w:color w:val="0e0e0e"/>
          <w:sz w:val="24"/>
          <w:szCs w:val="24"/>
        </w:rPr>
      </w:pPr>
      <w:r w:rsidDel="00000000" w:rsidR="00000000" w:rsidRPr="00000000">
        <w:rPr>
          <w:rFonts w:ascii="Times New Roman" w:cs="Times New Roman" w:eastAsia="Times New Roman" w:hAnsi="Times New Roman"/>
          <w:b w:val="1"/>
          <w:color w:val="0e0e0e"/>
          <w:sz w:val="24"/>
          <w:szCs w:val="24"/>
          <w:rtl w:val="0"/>
        </w:rPr>
        <w:t xml:space="preserve">Common Risks and Estimated Incidence:</w:t>
      </w:r>
    </w:p>
    <w:p w:rsidR="00000000" w:rsidDel="00000000" w:rsidP="00000000" w:rsidRDefault="00000000" w:rsidRPr="00000000" w14:paraId="00000005">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Any complication:</w:t>
      </w:r>
      <w:r w:rsidDel="00000000" w:rsidR="00000000" w:rsidRPr="00000000">
        <w:rPr>
          <w:rFonts w:ascii="Times New Roman" w:cs="Times New Roman" w:eastAsia="Times New Roman" w:hAnsi="Times New Roman"/>
          <w:color w:val="0e0e0e"/>
          <w:sz w:val="24"/>
          <w:szCs w:val="24"/>
          <w:rtl w:val="0"/>
        </w:rPr>
        <w:t xml:space="preserve"> 18–31.4% (includes both minor and major complications)</w:t>
      </w:r>
      <w:r w:rsidDel="00000000" w:rsidR="00000000" w:rsidRPr="00000000">
        <w:rPr>
          <w:rFonts w:ascii="Times New Roman" w:cs="Times New Roman" w:eastAsia="Times New Roman" w:hAnsi="Times New Roman"/>
          <w:color w:val="0000ff"/>
          <w:sz w:val="24"/>
          <w:szCs w:val="24"/>
          <w:rtl w:val="0"/>
        </w:rPr>
        <w:t xml:space="preserve">[1][2][3]</w:t>
      </w:r>
    </w:p>
    <w:p w:rsidR="00000000" w:rsidDel="00000000" w:rsidP="00000000" w:rsidRDefault="00000000" w:rsidRPr="00000000" w14:paraId="00000006">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Transient neurological symptoms (thigh/groin pain, numbness, hip flexor weakness):</w:t>
      </w:r>
      <w:r w:rsidDel="00000000" w:rsidR="00000000" w:rsidRPr="00000000">
        <w:rPr>
          <w:rFonts w:ascii="Times New Roman" w:cs="Times New Roman" w:eastAsia="Times New Roman" w:hAnsi="Times New Roman"/>
          <w:color w:val="0e0e0e"/>
          <w:sz w:val="24"/>
          <w:szCs w:val="24"/>
          <w:rtl w:val="0"/>
        </w:rPr>
        <w:t xml:space="preserve"> 13–36% (most resolve within weeks to months)</w:t>
      </w:r>
      <w:r w:rsidDel="00000000" w:rsidR="00000000" w:rsidRPr="00000000">
        <w:rPr>
          <w:rFonts w:ascii="Times New Roman" w:cs="Times New Roman" w:eastAsia="Times New Roman" w:hAnsi="Times New Roman"/>
          <w:color w:val="0000ff"/>
          <w:sz w:val="24"/>
          <w:szCs w:val="24"/>
          <w:rtl w:val="0"/>
        </w:rPr>
        <w:t xml:space="preserve">[1][2][3][4][5][6]</w:t>
      </w:r>
    </w:p>
    <w:p w:rsidR="00000000" w:rsidDel="00000000" w:rsidP="00000000" w:rsidRDefault="00000000" w:rsidRPr="00000000" w14:paraId="00000007">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Persistent neurological deficit:</w:t>
      </w:r>
      <w:r w:rsidDel="00000000" w:rsidR="00000000" w:rsidRPr="00000000">
        <w:rPr>
          <w:rFonts w:ascii="Times New Roman" w:cs="Times New Roman" w:eastAsia="Times New Roman" w:hAnsi="Times New Roman"/>
          <w:color w:val="0e0e0e"/>
          <w:sz w:val="24"/>
          <w:szCs w:val="24"/>
          <w:rtl w:val="0"/>
        </w:rPr>
        <w:t xml:space="preserve"> 1–4% (including femoral or non-femoral neuropraxia, motor neural injury)</w:t>
      </w:r>
      <w:r w:rsidDel="00000000" w:rsidR="00000000" w:rsidRPr="00000000">
        <w:rPr>
          <w:rFonts w:ascii="Times New Roman" w:cs="Times New Roman" w:eastAsia="Times New Roman" w:hAnsi="Times New Roman"/>
          <w:color w:val="0000ff"/>
          <w:sz w:val="24"/>
          <w:szCs w:val="24"/>
          <w:rtl w:val="0"/>
        </w:rPr>
        <w:t xml:space="preserve">[1][2][3][4][6]</w:t>
      </w:r>
    </w:p>
    <w:p w:rsidR="00000000" w:rsidDel="00000000" w:rsidP="00000000" w:rsidRDefault="00000000" w:rsidRPr="00000000" w14:paraId="00000008">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Psoas muscle weakness:</w:t>
      </w:r>
      <w:r w:rsidDel="00000000" w:rsidR="00000000" w:rsidRPr="00000000">
        <w:rPr>
          <w:rFonts w:ascii="Times New Roman" w:cs="Times New Roman" w:eastAsia="Times New Roman" w:hAnsi="Times New Roman"/>
          <w:color w:val="0e0e0e"/>
          <w:sz w:val="24"/>
          <w:szCs w:val="24"/>
          <w:rtl w:val="0"/>
        </w:rPr>
        <w:t xml:space="preserve"> 2.7–4.3%</w:t>
      </w:r>
      <w:r w:rsidDel="00000000" w:rsidR="00000000" w:rsidRPr="00000000">
        <w:rPr>
          <w:rFonts w:ascii="Times New Roman" w:cs="Times New Roman" w:eastAsia="Times New Roman" w:hAnsi="Times New Roman"/>
          <w:color w:val="0000ff"/>
          <w:sz w:val="24"/>
          <w:szCs w:val="24"/>
          <w:rtl w:val="0"/>
        </w:rPr>
        <w:t xml:space="preserve">[2][3][4][6]</w:t>
      </w:r>
    </w:p>
    <w:p w:rsidR="00000000" w:rsidDel="00000000" w:rsidP="00000000" w:rsidRDefault="00000000" w:rsidRPr="00000000" w14:paraId="00000009">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Sensory nerve injury:</w:t>
      </w:r>
      <w:r w:rsidDel="00000000" w:rsidR="00000000" w:rsidRPr="00000000">
        <w:rPr>
          <w:rFonts w:ascii="Times New Roman" w:cs="Times New Roman" w:eastAsia="Times New Roman" w:hAnsi="Times New Roman"/>
          <w:color w:val="0e0e0e"/>
          <w:sz w:val="24"/>
          <w:szCs w:val="24"/>
          <w:rtl w:val="0"/>
        </w:rPr>
        <w:t xml:space="preserve"> 5.1–27% (majority transient)</w:t>
      </w:r>
      <w:r w:rsidDel="00000000" w:rsidR="00000000" w:rsidRPr="00000000">
        <w:rPr>
          <w:rFonts w:ascii="Times New Roman" w:cs="Times New Roman" w:eastAsia="Times New Roman" w:hAnsi="Times New Roman"/>
          <w:color w:val="0000ff"/>
          <w:sz w:val="24"/>
          <w:szCs w:val="24"/>
          <w:rtl w:val="0"/>
        </w:rPr>
        <w:t xml:space="preserve">[1][2][3][4][5][6]</w:t>
      </w:r>
    </w:p>
    <w:p w:rsidR="00000000" w:rsidDel="00000000" w:rsidP="00000000" w:rsidRDefault="00000000" w:rsidRPr="00000000" w14:paraId="0000000A">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Vascular injury:</w:t>
      </w:r>
      <w:r w:rsidDel="00000000" w:rsidR="00000000" w:rsidRPr="00000000">
        <w:rPr>
          <w:rFonts w:ascii="Times New Roman" w:cs="Times New Roman" w:eastAsia="Times New Roman" w:hAnsi="Times New Roman"/>
          <w:color w:val="0e0e0e"/>
          <w:sz w:val="24"/>
          <w:szCs w:val="24"/>
          <w:rtl w:val="0"/>
        </w:rPr>
        <w:t xml:space="preserve"> 0.03–2% (major vascular injury is rare; segmental artery injury up to 2%)</w:t>
      </w:r>
      <w:r w:rsidDel="00000000" w:rsidR="00000000" w:rsidRPr="00000000">
        <w:rPr>
          <w:rFonts w:ascii="Times New Roman" w:cs="Times New Roman" w:eastAsia="Times New Roman" w:hAnsi="Times New Roman"/>
          <w:color w:val="0000ff"/>
          <w:sz w:val="24"/>
          <w:szCs w:val="24"/>
          <w:rtl w:val="0"/>
        </w:rPr>
        <w:t xml:space="preserve">[3][4][6][7]</w:t>
      </w:r>
    </w:p>
    <w:p w:rsidR="00000000" w:rsidDel="00000000" w:rsidP="00000000" w:rsidRDefault="00000000" w:rsidRPr="00000000" w14:paraId="0000000B">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Visceral injury (bowel, ureter):</w:t>
      </w:r>
      <w:r w:rsidDel="00000000" w:rsidR="00000000" w:rsidRPr="00000000">
        <w:rPr>
          <w:rFonts w:ascii="Times New Roman" w:cs="Times New Roman" w:eastAsia="Times New Roman" w:hAnsi="Times New Roman"/>
          <w:color w:val="0e0e0e"/>
          <w:sz w:val="24"/>
          <w:szCs w:val="24"/>
          <w:rtl w:val="0"/>
        </w:rPr>
        <w:t xml:space="preserve"> 0.03–0.6%</w:t>
      </w:r>
      <w:r w:rsidDel="00000000" w:rsidR="00000000" w:rsidRPr="00000000">
        <w:rPr>
          <w:rFonts w:ascii="Times New Roman" w:cs="Times New Roman" w:eastAsia="Times New Roman" w:hAnsi="Times New Roman"/>
          <w:color w:val="0000ff"/>
          <w:sz w:val="24"/>
          <w:szCs w:val="24"/>
          <w:rtl w:val="0"/>
        </w:rPr>
        <w:t xml:space="preserve">[3][6][7]</w:t>
      </w:r>
    </w:p>
    <w:p w:rsidR="00000000" w:rsidDel="00000000" w:rsidP="00000000" w:rsidRDefault="00000000" w:rsidRPr="00000000" w14:paraId="0000000C">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Musculoskeletal (MSK) complications (cage migration, subsidence, endplate injury, facet violation):</w:t>
      </w:r>
      <w:r w:rsidDel="00000000" w:rsidR="00000000" w:rsidRPr="00000000">
        <w:rPr>
          <w:rFonts w:ascii="Times New Roman" w:cs="Times New Roman" w:eastAsia="Times New Roman" w:hAnsi="Times New Roman"/>
          <w:color w:val="0e0e0e"/>
          <w:sz w:val="24"/>
          <w:szCs w:val="24"/>
          <w:rtl w:val="0"/>
        </w:rPr>
        <w:t xml:space="preserve"> 1.6–9.2% (cage migration 1.6%, subsidence 3.8%, facet violation 13.2%)</w:t>
      </w:r>
      <w:r w:rsidDel="00000000" w:rsidR="00000000" w:rsidRPr="00000000">
        <w:rPr>
          <w:rFonts w:ascii="Times New Roman" w:cs="Times New Roman" w:eastAsia="Times New Roman" w:hAnsi="Times New Roman"/>
          <w:color w:val="0000ff"/>
          <w:sz w:val="24"/>
          <w:szCs w:val="24"/>
          <w:rtl w:val="0"/>
        </w:rPr>
        <w:t xml:space="preserve">[2][4][8][9]</w:t>
      </w:r>
    </w:p>
    <w:p w:rsidR="00000000" w:rsidDel="00000000" w:rsidP="00000000" w:rsidRDefault="00000000" w:rsidRPr="00000000" w14:paraId="0000000D">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Wound infection (superficial/deep):</w:t>
      </w:r>
      <w:r w:rsidDel="00000000" w:rsidR="00000000" w:rsidRPr="00000000">
        <w:rPr>
          <w:rFonts w:ascii="Times New Roman" w:cs="Times New Roman" w:eastAsia="Times New Roman" w:hAnsi="Times New Roman"/>
          <w:color w:val="0e0e0e"/>
          <w:sz w:val="24"/>
          <w:szCs w:val="24"/>
          <w:rtl w:val="0"/>
        </w:rPr>
        <w:t xml:space="preserve"> 0.7–1.9%</w:t>
      </w:r>
      <w:r w:rsidDel="00000000" w:rsidR="00000000" w:rsidRPr="00000000">
        <w:rPr>
          <w:rFonts w:ascii="Times New Roman" w:cs="Times New Roman" w:eastAsia="Times New Roman" w:hAnsi="Times New Roman"/>
          <w:color w:val="0000ff"/>
          <w:sz w:val="24"/>
          <w:szCs w:val="24"/>
          <w:rtl w:val="0"/>
        </w:rPr>
        <w:t xml:space="preserve">[2][3][4][10]</w:t>
      </w:r>
    </w:p>
    <w:p w:rsidR="00000000" w:rsidDel="00000000" w:rsidP="00000000" w:rsidRDefault="00000000" w:rsidRPr="00000000" w14:paraId="0000000E">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Reoperation (within 30–90 days):</w:t>
      </w:r>
      <w:r w:rsidDel="00000000" w:rsidR="00000000" w:rsidRPr="00000000">
        <w:rPr>
          <w:rFonts w:ascii="Times New Roman" w:cs="Times New Roman" w:eastAsia="Times New Roman" w:hAnsi="Times New Roman"/>
          <w:color w:val="0e0e0e"/>
          <w:sz w:val="24"/>
          <w:szCs w:val="24"/>
          <w:rtl w:val="0"/>
        </w:rPr>
        <w:t xml:space="preserve"> 1–7.9%</w:t>
      </w:r>
      <w:r w:rsidDel="00000000" w:rsidR="00000000" w:rsidRPr="00000000">
        <w:rPr>
          <w:rFonts w:ascii="Times New Roman" w:cs="Times New Roman" w:eastAsia="Times New Roman" w:hAnsi="Times New Roman"/>
          <w:color w:val="0000ff"/>
          <w:sz w:val="24"/>
          <w:szCs w:val="24"/>
          <w:rtl w:val="0"/>
        </w:rPr>
        <w:t xml:space="preserve">[3][4][6][11]</w:t>
      </w:r>
    </w:p>
    <w:p w:rsidR="00000000" w:rsidDel="00000000" w:rsidP="00000000" w:rsidRDefault="00000000" w:rsidRPr="00000000" w14:paraId="0000000F">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Ileus:</w:t>
      </w:r>
      <w:r w:rsidDel="00000000" w:rsidR="00000000" w:rsidRPr="00000000">
        <w:rPr>
          <w:rFonts w:ascii="Times New Roman" w:cs="Times New Roman" w:eastAsia="Times New Roman" w:hAnsi="Times New Roman"/>
          <w:color w:val="0e0e0e"/>
          <w:sz w:val="24"/>
          <w:szCs w:val="24"/>
          <w:rtl w:val="0"/>
        </w:rPr>
        <w:t xml:space="preserve"> 1.0%</w:t>
      </w:r>
      <w:r w:rsidDel="00000000" w:rsidR="00000000" w:rsidRPr="00000000">
        <w:rPr>
          <w:rFonts w:ascii="Times New Roman" w:cs="Times New Roman" w:eastAsia="Times New Roman" w:hAnsi="Times New Roman"/>
          <w:color w:val="0000ff"/>
          <w:sz w:val="24"/>
          <w:szCs w:val="24"/>
          <w:rtl w:val="0"/>
        </w:rPr>
        <w:t xml:space="preserve">[6]</w:t>
      </w:r>
    </w:p>
    <w:p w:rsidR="00000000" w:rsidDel="00000000" w:rsidP="00000000" w:rsidRDefault="00000000" w:rsidRPr="00000000" w14:paraId="00000010">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Psoas hematoma:</w:t>
      </w:r>
      <w:r w:rsidDel="00000000" w:rsidR="00000000" w:rsidRPr="00000000">
        <w:rPr>
          <w:rFonts w:ascii="Times New Roman" w:cs="Times New Roman" w:eastAsia="Times New Roman" w:hAnsi="Times New Roman"/>
          <w:color w:val="0e0e0e"/>
          <w:sz w:val="24"/>
          <w:szCs w:val="24"/>
          <w:rtl w:val="0"/>
        </w:rPr>
        <w:t xml:space="preserve"> 1.3%</w:t>
      </w:r>
      <w:r w:rsidDel="00000000" w:rsidR="00000000" w:rsidRPr="00000000">
        <w:rPr>
          <w:rFonts w:ascii="Times New Roman" w:cs="Times New Roman" w:eastAsia="Times New Roman" w:hAnsi="Times New Roman"/>
          <w:color w:val="0000ff"/>
          <w:sz w:val="24"/>
          <w:szCs w:val="24"/>
          <w:rtl w:val="0"/>
        </w:rPr>
        <w:t xml:space="preserve">[4]</w:t>
      </w:r>
    </w:p>
    <w:p w:rsidR="00000000" w:rsidDel="00000000" w:rsidP="00000000" w:rsidRDefault="00000000" w:rsidRPr="00000000" w14:paraId="00000011">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Aborted interbody placement:</w:t>
      </w:r>
      <w:r w:rsidDel="00000000" w:rsidR="00000000" w:rsidRPr="00000000">
        <w:rPr>
          <w:rFonts w:ascii="Times New Roman" w:cs="Times New Roman" w:eastAsia="Times New Roman" w:hAnsi="Times New Roman"/>
          <w:color w:val="0e0e0e"/>
          <w:sz w:val="24"/>
          <w:szCs w:val="24"/>
          <w:rtl w:val="0"/>
        </w:rPr>
        <w:t xml:space="preserve"> 0.8%</w:t>
      </w:r>
      <w:r w:rsidDel="00000000" w:rsidR="00000000" w:rsidRPr="00000000">
        <w:rPr>
          <w:rFonts w:ascii="Times New Roman" w:cs="Times New Roman" w:eastAsia="Times New Roman" w:hAnsi="Times New Roman"/>
          <w:color w:val="0000ff"/>
          <w:sz w:val="24"/>
          <w:szCs w:val="24"/>
          <w:rtl w:val="0"/>
        </w:rPr>
        <w:t xml:space="preserve">[4]</w:t>
      </w:r>
    </w:p>
    <w:p w:rsidR="00000000" w:rsidDel="00000000" w:rsidP="00000000" w:rsidRDefault="00000000" w:rsidRPr="00000000" w14:paraId="00000012">
      <w:pPr>
        <w:spacing w:after="200" w:line="301.09090909090907" w:lineRule="auto"/>
        <w:rPr>
          <w:rFonts w:ascii="Times New Roman" w:cs="Times New Roman" w:eastAsia="Times New Roman" w:hAnsi="Times New Roman"/>
          <w:b w:val="1"/>
          <w:color w:val="0e0e0e"/>
          <w:sz w:val="24"/>
          <w:szCs w:val="24"/>
        </w:rPr>
      </w:pPr>
      <w:r w:rsidDel="00000000" w:rsidR="00000000" w:rsidRPr="00000000">
        <w:rPr>
          <w:rFonts w:ascii="Times New Roman" w:cs="Times New Roman" w:eastAsia="Times New Roman" w:hAnsi="Times New Roman"/>
          <w:b w:val="1"/>
          <w:color w:val="0e0e0e"/>
          <w:sz w:val="24"/>
          <w:szCs w:val="24"/>
          <w:rtl w:val="0"/>
        </w:rPr>
        <w:t xml:space="preserve">Serious or Rare Risks:</w:t>
      </w:r>
    </w:p>
    <w:p w:rsidR="00000000" w:rsidDel="00000000" w:rsidP="00000000" w:rsidRDefault="00000000" w:rsidRPr="00000000" w14:paraId="00000013">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Major vascular injury:</w:t>
      </w:r>
      <w:r w:rsidDel="00000000" w:rsidR="00000000" w:rsidRPr="00000000">
        <w:rPr>
          <w:rFonts w:ascii="Times New Roman" w:cs="Times New Roman" w:eastAsia="Times New Roman" w:hAnsi="Times New Roman"/>
          <w:color w:val="0e0e0e"/>
          <w:sz w:val="24"/>
          <w:szCs w:val="24"/>
          <w:rtl w:val="0"/>
        </w:rPr>
        <w:t xml:space="preserve"> 0.03%</w:t>
      </w:r>
      <w:r w:rsidDel="00000000" w:rsidR="00000000" w:rsidRPr="00000000">
        <w:rPr>
          <w:rFonts w:ascii="Times New Roman" w:cs="Times New Roman" w:eastAsia="Times New Roman" w:hAnsi="Times New Roman"/>
          <w:color w:val="0000ff"/>
          <w:sz w:val="24"/>
          <w:szCs w:val="24"/>
          <w:rtl w:val="0"/>
        </w:rPr>
        <w:t xml:space="preserve">[3]</w:t>
      </w:r>
    </w:p>
    <w:p w:rsidR="00000000" w:rsidDel="00000000" w:rsidP="00000000" w:rsidRDefault="00000000" w:rsidRPr="00000000" w14:paraId="00000014">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Bowel injury:</w:t>
      </w:r>
      <w:r w:rsidDel="00000000" w:rsidR="00000000" w:rsidRPr="00000000">
        <w:rPr>
          <w:rFonts w:ascii="Times New Roman" w:cs="Times New Roman" w:eastAsia="Times New Roman" w:hAnsi="Times New Roman"/>
          <w:color w:val="0e0e0e"/>
          <w:sz w:val="24"/>
          <w:szCs w:val="24"/>
          <w:rtl w:val="0"/>
        </w:rPr>
        <w:t xml:space="preserve"> 0.03%</w:t>
      </w:r>
      <w:r w:rsidDel="00000000" w:rsidR="00000000" w:rsidRPr="00000000">
        <w:rPr>
          <w:rFonts w:ascii="Times New Roman" w:cs="Times New Roman" w:eastAsia="Times New Roman" w:hAnsi="Times New Roman"/>
          <w:color w:val="0000ff"/>
          <w:sz w:val="24"/>
          <w:szCs w:val="24"/>
          <w:rtl w:val="0"/>
        </w:rPr>
        <w:t xml:space="preserve">[3]</w:t>
      </w:r>
    </w:p>
    <w:p w:rsidR="00000000" w:rsidDel="00000000" w:rsidP="00000000" w:rsidRDefault="00000000" w:rsidRPr="00000000" w14:paraId="00000015">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Anterior longitudinal ligament rupture:</w:t>
      </w:r>
      <w:r w:rsidDel="00000000" w:rsidR="00000000" w:rsidRPr="00000000">
        <w:rPr>
          <w:rFonts w:ascii="Times New Roman" w:cs="Times New Roman" w:eastAsia="Times New Roman" w:hAnsi="Times New Roman"/>
          <w:color w:val="0e0e0e"/>
          <w:sz w:val="24"/>
          <w:szCs w:val="24"/>
          <w:rtl w:val="0"/>
        </w:rPr>
        <w:t xml:space="preserve"> 2.3%</w:t>
      </w:r>
      <w:r w:rsidDel="00000000" w:rsidR="00000000" w:rsidRPr="00000000">
        <w:rPr>
          <w:rFonts w:ascii="Times New Roman" w:cs="Times New Roman" w:eastAsia="Times New Roman" w:hAnsi="Times New Roman"/>
          <w:color w:val="0000ff"/>
          <w:sz w:val="24"/>
          <w:szCs w:val="24"/>
          <w:rtl w:val="0"/>
        </w:rPr>
        <w:t xml:space="preserve">[4]</w:t>
      </w:r>
    </w:p>
    <w:p w:rsidR="00000000" w:rsidDel="00000000" w:rsidP="00000000" w:rsidRDefault="00000000" w:rsidRPr="00000000" w14:paraId="00000016">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Facet joint violation (with pedicle screw fixation):</w:t>
      </w:r>
      <w:r w:rsidDel="00000000" w:rsidR="00000000" w:rsidRPr="00000000">
        <w:rPr>
          <w:rFonts w:ascii="Times New Roman" w:cs="Times New Roman" w:eastAsia="Times New Roman" w:hAnsi="Times New Roman"/>
          <w:color w:val="0e0e0e"/>
          <w:sz w:val="24"/>
          <w:szCs w:val="24"/>
          <w:rtl w:val="0"/>
        </w:rPr>
        <w:t xml:space="preserve"> 13.2% (grade 2 violation is less common, but can occur)</w:t>
      </w:r>
      <w:r w:rsidDel="00000000" w:rsidR="00000000" w:rsidRPr="00000000">
        <w:rPr>
          <w:rFonts w:ascii="Times New Roman" w:cs="Times New Roman" w:eastAsia="Times New Roman" w:hAnsi="Times New Roman"/>
          <w:color w:val="0000ff"/>
          <w:sz w:val="24"/>
          <w:szCs w:val="24"/>
          <w:rtl w:val="0"/>
        </w:rPr>
        <w:t xml:space="preserve">[9]</w:t>
      </w:r>
    </w:p>
    <w:p w:rsidR="00000000" w:rsidDel="00000000" w:rsidP="00000000" w:rsidRDefault="00000000" w:rsidRPr="00000000" w14:paraId="00000017">
      <w:pPr>
        <w:spacing w:after="200" w:line="301.09090909090907" w:lineRule="auto"/>
        <w:rPr>
          <w:rFonts w:ascii="Times New Roman" w:cs="Times New Roman" w:eastAsia="Times New Roman" w:hAnsi="Times New Roman"/>
          <w:b w:val="1"/>
          <w:color w:val="0e0e0e"/>
          <w:sz w:val="24"/>
          <w:szCs w:val="24"/>
        </w:rPr>
      </w:pPr>
      <w:r w:rsidDel="00000000" w:rsidR="00000000" w:rsidRPr="00000000">
        <w:rPr>
          <w:rFonts w:ascii="Times New Roman" w:cs="Times New Roman" w:eastAsia="Times New Roman" w:hAnsi="Times New Roman"/>
          <w:b w:val="1"/>
          <w:color w:val="0e0e0e"/>
          <w:sz w:val="24"/>
          <w:szCs w:val="24"/>
          <w:rtl w:val="0"/>
        </w:rPr>
        <w:t xml:space="preserve">Risk Factors for Increased Complications:</w:t>
      </w:r>
    </w:p>
    <w:p w:rsidR="00000000" w:rsidDel="00000000" w:rsidP="00000000" w:rsidRDefault="00000000" w:rsidRPr="00000000" w14:paraId="00000018">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Higher number of fused segments increases risk of cage migration and overall complications</w:t>
      </w:r>
      <w:r w:rsidDel="00000000" w:rsidR="00000000" w:rsidRPr="00000000">
        <w:rPr>
          <w:rFonts w:ascii="Times New Roman" w:cs="Times New Roman" w:eastAsia="Times New Roman" w:hAnsi="Times New Roman"/>
          <w:color w:val="0000ff"/>
          <w:sz w:val="24"/>
          <w:szCs w:val="24"/>
          <w:rtl w:val="0"/>
        </w:rPr>
        <w:t xml:space="preserve">[2][8]</w:t>
      </w:r>
    </w:p>
    <w:p w:rsidR="00000000" w:rsidDel="00000000" w:rsidP="00000000" w:rsidRDefault="00000000" w:rsidRPr="00000000" w14:paraId="00000019">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High preoperative disc height, large sagittal disc angle, round-type disc, and undersized cage selection increase risk of cage migration</w:t>
      </w:r>
      <w:r w:rsidDel="00000000" w:rsidR="00000000" w:rsidRPr="00000000">
        <w:rPr>
          <w:rFonts w:ascii="Times New Roman" w:cs="Times New Roman" w:eastAsia="Times New Roman" w:hAnsi="Times New Roman"/>
          <w:color w:val="0000ff"/>
          <w:sz w:val="24"/>
          <w:szCs w:val="24"/>
          <w:rtl w:val="0"/>
        </w:rPr>
        <w:t xml:space="preserve">[8]</w:t>
      </w:r>
    </w:p>
    <w:p w:rsidR="00000000" w:rsidDel="00000000" w:rsidP="00000000" w:rsidRDefault="00000000" w:rsidRPr="00000000" w14:paraId="0000001A">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Advanced age, higher ASA class, and comorbidities (diabetes, obesity, COPD, disseminated cancer) are associated with higher complication rates and poorer outcomes</w:t>
      </w:r>
      <w:r w:rsidDel="00000000" w:rsidR="00000000" w:rsidRPr="00000000">
        <w:rPr>
          <w:rFonts w:ascii="Times New Roman" w:cs="Times New Roman" w:eastAsia="Times New Roman" w:hAnsi="Times New Roman"/>
          <w:color w:val="0000ff"/>
          <w:sz w:val="24"/>
          <w:szCs w:val="24"/>
          <w:rtl w:val="0"/>
        </w:rPr>
        <w:t xml:space="preserve">[3][12]</w:t>
      </w:r>
    </w:p>
    <w:p w:rsidR="00000000" w:rsidDel="00000000" w:rsidP="00000000" w:rsidRDefault="00000000" w:rsidRPr="00000000" w14:paraId="0000001B">
      <w:pPr>
        <w:spacing w:after="200" w:line="301.09090909090907" w:lineRule="auto"/>
        <w:rPr>
          <w:rFonts w:ascii="Times New Roman" w:cs="Times New Roman" w:eastAsia="Times New Roman" w:hAnsi="Times New Roman"/>
          <w:b w:val="1"/>
          <w:color w:val="0e0e0e"/>
          <w:sz w:val="24"/>
          <w:szCs w:val="24"/>
        </w:rPr>
      </w:pPr>
      <w:r w:rsidDel="00000000" w:rsidR="00000000" w:rsidRPr="00000000">
        <w:rPr>
          <w:rFonts w:ascii="Times New Roman" w:cs="Times New Roman" w:eastAsia="Times New Roman" w:hAnsi="Times New Roman"/>
          <w:b w:val="1"/>
          <w:color w:val="0e0e0e"/>
          <w:sz w:val="24"/>
          <w:szCs w:val="24"/>
          <w:rtl w:val="0"/>
        </w:rPr>
        <w:t xml:space="preserve">Summary Table of Key Risks:</w:t>
      </w:r>
    </w:p>
    <w:tbl>
      <w:tblPr>
        <w:tblStyle w:val="Table1"/>
        <w:tblW w:w="89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20"/>
        <w:gridCol w:w="1635"/>
        <w:gridCol w:w="3000"/>
        <w:gridCol w:w="1530"/>
        <w:tblGridChange w:id="0">
          <w:tblGrid>
            <w:gridCol w:w="2820"/>
            <w:gridCol w:w="1635"/>
            <w:gridCol w:w="3000"/>
            <w:gridCol w:w="1530"/>
          </w:tblGrid>
        </w:tblGridChange>
      </w:tblGrid>
      <w:tr>
        <w:trPr>
          <w:cantSplit w:val="0"/>
          <w:trHeight w:val="124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C">
            <w:pPr>
              <w:spacing w:after="200" w:line="301.09090909090907" w:lineRule="auto"/>
              <w:rPr>
                <w:rFonts w:ascii="Times New Roman" w:cs="Times New Roman" w:eastAsia="Times New Roman" w:hAnsi="Times New Roman"/>
                <w:b w:val="1"/>
                <w:color w:val="0e0e0e"/>
                <w:sz w:val="23"/>
                <w:szCs w:val="23"/>
              </w:rPr>
            </w:pPr>
            <w:r w:rsidDel="00000000" w:rsidR="00000000" w:rsidRPr="00000000">
              <w:rPr>
                <w:rFonts w:ascii="Times New Roman" w:cs="Times New Roman" w:eastAsia="Times New Roman" w:hAnsi="Times New Roman"/>
                <w:b w:val="1"/>
                <w:color w:val="0e0e0e"/>
                <w:sz w:val="23"/>
                <w:szCs w:val="23"/>
                <w:rtl w:val="0"/>
              </w:rPr>
              <w:t xml:space="preserve">Complication</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D">
            <w:pPr>
              <w:spacing w:after="200" w:line="301.09090909090907" w:lineRule="auto"/>
              <w:rPr>
                <w:rFonts w:ascii="Times New Roman" w:cs="Times New Roman" w:eastAsia="Times New Roman" w:hAnsi="Times New Roman"/>
                <w:b w:val="1"/>
                <w:color w:val="0e0e0e"/>
                <w:sz w:val="23"/>
                <w:szCs w:val="23"/>
              </w:rPr>
            </w:pPr>
            <w:r w:rsidDel="00000000" w:rsidR="00000000" w:rsidRPr="00000000">
              <w:rPr>
                <w:rFonts w:ascii="Times New Roman" w:cs="Times New Roman" w:eastAsia="Times New Roman" w:hAnsi="Times New Roman"/>
                <w:b w:val="1"/>
                <w:color w:val="0e0e0e"/>
                <w:sz w:val="23"/>
                <w:szCs w:val="23"/>
                <w:rtl w:val="0"/>
              </w:rPr>
              <w:t xml:space="preserve">Estimated Incidence (%)</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E">
            <w:pPr>
              <w:spacing w:after="200" w:line="301.09090909090907" w:lineRule="auto"/>
              <w:rPr>
                <w:rFonts w:ascii="Times New Roman" w:cs="Times New Roman" w:eastAsia="Times New Roman" w:hAnsi="Times New Roman"/>
                <w:b w:val="1"/>
                <w:color w:val="0e0e0e"/>
                <w:sz w:val="23"/>
                <w:szCs w:val="23"/>
              </w:rPr>
            </w:pPr>
            <w:r w:rsidDel="00000000" w:rsidR="00000000" w:rsidRPr="00000000">
              <w:rPr>
                <w:rFonts w:ascii="Times New Roman" w:cs="Times New Roman" w:eastAsia="Times New Roman" w:hAnsi="Times New Roman"/>
                <w:b w:val="1"/>
                <w:color w:val="0e0e0e"/>
                <w:sz w:val="23"/>
                <w:szCs w:val="23"/>
                <w:rtl w:val="0"/>
              </w:rPr>
              <w:t xml:space="preserve">Notes/Details</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F">
            <w:pPr>
              <w:spacing w:after="200" w:line="301.09090909090907" w:lineRule="auto"/>
              <w:rPr>
                <w:rFonts w:ascii="Times New Roman" w:cs="Times New Roman" w:eastAsia="Times New Roman" w:hAnsi="Times New Roman"/>
                <w:b w:val="1"/>
                <w:color w:val="0e0e0e"/>
                <w:sz w:val="23"/>
                <w:szCs w:val="23"/>
              </w:rPr>
            </w:pPr>
            <w:r w:rsidDel="00000000" w:rsidR="00000000" w:rsidRPr="00000000">
              <w:rPr>
                <w:rFonts w:ascii="Times New Roman" w:cs="Times New Roman" w:eastAsia="Times New Roman" w:hAnsi="Times New Roman"/>
                <w:b w:val="1"/>
                <w:color w:val="0e0e0e"/>
                <w:sz w:val="23"/>
                <w:szCs w:val="23"/>
                <w:rtl w:val="0"/>
              </w:rPr>
              <w:t xml:space="preserve">References</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0">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Any complication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1">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18–31.4</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2">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Minor and major combined</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3">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000ff"/>
                <w:sz w:val="23"/>
                <w:szCs w:val="23"/>
                <w:rtl w:val="0"/>
              </w:rPr>
              <w:t xml:space="preserve">[1][2][8]</w:t>
            </w:r>
          </w:p>
        </w:tc>
      </w:tr>
      <w:tr>
        <w:trPr>
          <w:cantSplit w:val="0"/>
          <w:trHeight w:val="124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4">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Transient neurological symptoms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5">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13–36</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6">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Thigh/groin pain, numbness, hip flexor weakness (mostly resolve)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7">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000ff"/>
                <w:sz w:val="23"/>
                <w:szCs w:val="23"/>
                <w:rtl w:val="0"/>
              </w:rPr>
              <w:t xml:space="preserve">[1][2][4][8][10][11]</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8">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Persistent neurological deficit</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9">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1–4</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A">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Femoral/non-femoral neuropraxia, motor injury</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B">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000ff"/>
                <w:sz w:val="23"/>
                <w:szCs w:val="23"/>
                <w:rtl w:val="0"/>
              </w:rPr>
              <w:t xml:space="preserve">[1][2][4][8][11]</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C">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Psoas muscle weakness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D">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2.7–4.3</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E">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F">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000ff"/>
                <w:sz w:val="23"/>
                <w:szCs w:val="23"/>
                <w:rtl w:val="0"/>
              </w:rPr>
              <w:t xml:space="preserve">[1][2][4][11]</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0">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Sensory nerve injury</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1">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5.1–27</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2">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Majority transient</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3">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000ff"/>
                <w:sz w:val="23"/>
                <w:szCs w:val="23"/>
                <w:rtl w:val="0"/>
              </w:rPr>
              <w:t xml:space="preserve">[1][2][4][8][10][11]</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4">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Vascular injury</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5">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0.03–2</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6">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Major vascular injury rare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7">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000ff"/>
                <w:sz w:val="23"/>
                <w:szCs w:val="23"/>
                <w:rtl w:val="0"/>
              </w:rPr>
              <w:t xml:space="preserve">[2][4][5][11]</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8">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Visceral injury</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9">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0.03–0.6</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A">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Bowel, ureter</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B">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000ff"/>
                <w:sz w:val="23"/>
                <w:szCs w:val="23"/>
                <w:rtl w:val="0"/>
              </w:rPr>
              <w:t xml:space="preserve">[2][5][11]</w:t>
            </w:r>
          </w:p>
        </w:tc>
      </w:tr>
      <w:tr>
        <w:trPr>
          <w:cantSplit w:val="0"/>
          <w:trHeight w:val="124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C">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MSK complications (cage migration, subsidence, facet violation)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D">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1.6–13.2</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E">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Cage migration 1.6%, subsidence 3.8%, facet violation 13.2%</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F">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000ff"/>
                <w:sz w:val="23"/>
                <w:szCs w:val="23"/>
                <w:rtl w:val="0"/>
              </w:rPr>
              <w:t xml:space="preserve">[1][4][6][12]</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0">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Wound infection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1">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0.7–1.9</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2">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Superficial/deep</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3">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000ff"/>
                <w:sz w:val="23"/>
                <w:szCs w:val="23"/>
                <w:rtl w:val="0"/>
              </w:rPr>
              <w:t xml:space="preserve">[1][2][4][7]</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4">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Reoperation (30–90 days)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5">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1–7.9</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6">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7">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000ff"/>
                <w:sz w:val="23"/>
                <w:szCs w:val="23"/>
                <w:rtl w:val="0"/>
              </w:rPr>
              <w:t xml:space="preserve">[2][3][4][11]</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8">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Ileus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9">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1.0</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A">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B">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000ff"/>
                <w:sz w:val="23"/>
                <w:szCs w:val="23"/>
                <w:rtl w:val="0"/>
              </w:rPr>
              <w:t xml:space="preserve">[11]</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C">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Psoas hematoma</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D">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1.3</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E">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F">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000ff"/>
                <w:sz w:val="23"/>
                <w:szCs w:val="23"/>
                <w:rtl w:val="0"/>
              </w:rPr>
              <w:t xml:space="preserve">[4]</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0">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Aborted interbody placement</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1">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0.8</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2">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3">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000ff"/>
                <w:sz w:val="23"/>
                <w:szCs w:val="23"/>
                <w:rtl w:val="0"/>
              </w:rPr>
              <w:t xml:space="preserve">[4]</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4">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Major vascular injury</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5">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0.03</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6">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7">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000ff"/>
                <w:sz w:val="23"/>
                <w:szCs w:val="23"/>
                <w:rtl w:val="0"/>
              </w:rPr>
              <w:t xml:space="preserve">[2]</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8">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Bowel injury</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9">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0.03</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A">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B">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000ff"/>
                <w:sz w:val="23"/>
                <w:szCs w:val="23"/>
                <w:rtl w:val="0"/>
              </w:rPr>
              <w:t xml:space="preserve">[2]</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C">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Anterior longitudinal ligament rupture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D">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2.3</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E">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F">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000ff"/>
                <w:sz w:val="23"/>
                <w:szCs w:val="23"/>
                <w:rtl w:val="0"/>
              </w:rPr>
              <w:t xml:space="preserve">[4]</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0">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Facet joint violation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1">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13.2</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2">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With pedicle screw fixation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3">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000ff"/>
                <w:sz w:val="23"/>
                <w:szCs w:val="23"/>
                <w:rtl w:val="0"/>
              </w:rPr>
              <w:t xml:space="preserve">[12]</w:t>
            </w:r>
          </w:p>
        </w:tc>
      </w:tr>
    </w:tbl>
    <w:p w:rsidR="00000000" w:rsidDel="00000000" w:rsidP="00000000" w:rsidRDefault="00000000" w:rsidRPr="00000000" w14:paraId="00000064">
      <w:pPr>
        <w:spacing w:after="200" w:line="301.09090909090907" w:lineRule="auto"/>
        <w:rPr>
          <w:rFonts w:ascii="Times New Roman" w:cs="Times New Roman" w:eastAsia="Times New Roman" w:hAnsi="Times New Roman"/>
          <w:b w:val="1"/>
          <w:color w:val="0e0e0e"/>
          <w:sz w:val="24"/>
          <w:szCs w:val="24"/>
        </w:rPr>
      </w:pPr>
      <w:r w:rsidDel="00000000" w:rsidR="00000000" w:rsidRPr="00000000">
        <w:rPr>
          <w:rtl w:val="0"/>
        </w:rPr>
      </w:r>
    </w:p>
    <w:p w:rsidR="00000000" w:rsidDel="00000000" w:rsidP="00000000" w:rsidRDefault="00000000" w:rsidRPr="00000000" w14:paraId="00000065">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b w:val="1"/>
          <w:color w:val="0e0e0e"/>
          <w:sz w:val="24"/>
          <w:szCs w:val="24"/>
          <w:rtl w:val="0"/>
        </w:rPr>
        <w:t xml:space="preserve">Patient Acknowledgment: </w:t>
      </w:r>
      <w:r w:rsidDel="00000000" w:rsidR="00000000" w:rsidRPr="00000000">
        <w:rPr>
          <w:rFonts w:ascii="Times New Roman" w:cs="Times New Roman" w:eastAsia="Times New Roman" w:hAnsi="Times New Roman"/>
          <w:color w:val="0e0e0e"/>
          <w:sz w:val="23"/>
          <w:szCs w:val="23"/>
          <w:rtl w:val="0"/>
        </w:rPr>
        <w:t xml:space="preserve">By signing below, the patient acknowledges understanding of the above risks, their estimated incidence, and the potential for both common and rare complications associated with lateral lumbar interbody fusion with posterior pedicle screw fixation. All questions have been answered to the patient's satisfaction.</w:t>
      </w:r>
    </w:p>
    <w:p w:rsidR="00000000" w:rsidDel="00000000" w:rsidP="00000000" w:rsidRDefault="00000000" w:rsidRPr="00000000" w14:paraId="00000066">
      <w:pPr>
        <w:spacing w:after="200" w:line="301.09090909090907" w:lineRule="auto"/>
        <w:rPr>
          <w:rFonts w:ascii="Times New Roman" w:cs="Times New Roman" w:eastAsia="Times New Roman" w:hAnsi="Times New Roman"/>
          <w:b w:val="1"/>
          <w:color w:val="0e0e0e"/>
          <w:sz w:val="24"/>
          <w:szCs w:val="24"/>
        </w:rPr>
      </w:pPr>
      <w:r w:rsidDel="00000000" w:rsidR="00000000" w:rsidRPr="00000000">
        <w:rPr>
          <w:rFonts w:ascii="Times New Roman" w:cs="Times New Roman" w:eastAsia="Times New Roman" w:hAnsi="Times New Roman"/>
          <w:b w:val="1"/>
          <w:color w:val="0e0e0e"/>
          <w:sz w:val="24"/>
          <w:szCs w:val="24"/>
          <w:rtl w:val="0"/>
        </w:rPr>
        <w:t xml:space="preserve">Signature: ________________________   Date: _________</w:t>
      </w:r>
    </w:p>
    <w:p w:rsidR="00000000" w:rsidDel="00000000" w:rsidP="00000000" w:rsidRDefault="00000000" w:rsidRPr="00000000" w14:paraId="00000067">
      <w:pPr>
        <w:spacing w:after="200" w:line="301.09090909090907" w:lineRule="auto"/>
        <w:rPr>
          <w:rFonts w:ascii="Times New Roman" w:cs="Times New Roman" w:eastAsia="Times New Roman" w:hAnsi="Times New Roman"/>
          <w:b w:val="1"/>
          <w:color w:val="0e0e0e"/>
          <w:sz w:val="30"/>
          <w:szCs w:val="30"/>
        </w:rPr>
      </w:pPr>
      <w:r w:rsidDel="00000000" w:rsidR="00000000" w:rsidRPr="00000000">
        <w:rPr>
          <w:rFonts w:ascii="Times New Roman" w:cs="Times New Roman" w:eastAsia="Times New Roman" w:hAnsi="Times New Roman"/>
          <w:b w:val="1"/>
          <w:sz w:val="24"/>
          <w:szCs w:val="24"/>
          <w:rtl w:val="0"/>
        </w:rPr>
        <w:t xml:space="preserve">Patient Name: _____________________________  DOB:_________</w:t>
      </w:r>
      <w:r w:rsidDel="00000000" w:rsidR="00000000" w:rsidRPr="00000000">
        <w:rPr>
          <w:rtl w:val="0"/>
        </w:rPr>
      </w:r>
    </w:p>
    <w:p w:rsidR="00000000" w:rsidDel="00000000" w:rsidP="00000000" w:rsidRDefault="00000000" w:rsidRPr="00000000" w14:paraId="00000068">
      <w:pPr>
        <w:pStyle w:val="Heading1"/>
        <w:keepNext w:val="0"/>
        <w:keepLines w:val="0"/>
        <w:spacing w:after="280" w:before="480" w:line="191.9997391304348" w:lineRule="auto"/>
        <w:rPr>
          <w:rFonts w:ascii="Times New Roman" w:cs="Times New Roman" w:eastAsia="Times New Roman" w:hAnsi="Times New Roman"/>
          <w:b w:val="1"/>
          <w:color w:val="0e0e0e"/>
          <w:sz w:val="30"/>
          <w:szCs w:val="30"/>
        </w:rPr>
      </w:pPr>
      <w:bookmarkStart w:colFirst="0" w:colLast="0" w:name="_jfhgf7o2uxyt" w:id="2"/>
      <w:bookmarkEnd w:id="2"/>
      <w:r w:rsidDel="00000000" w:rsidR="00000000" w:rsidRPr="00000000">
        <w:rPr>
          <w:rFonts w:ascii="Times New Roman" w:cs="Times New Roman" w:eastAsia="Times New Roman" w:hAnsi="Times New Roman"/>
          <w:b w:val="1"/>
          <w:color w:val="0e0e0e"/>
          <w:sz w:val="30"/>
          <w:szCs w:val="30"/>
          <w:rtl w:val="0"/>
        </w:rPr>
        <w:t xml:space="preserve">References</w:t>
      </w:r>
    </w:p>
    <w:p w:rsidR="00000000" w:rsidDel="00000000" w:rsidP="00000000" w:rsidRDefault="00000000" w:rsidRPr="00000000" w14:paraId="00000069">
      <w:pPr>
        <w:spacing w:line="301.09090909090907" w:lineRule="auto"/>
        <w:ind w:left="720" w:firstLine="0"/>
        <w:rPr>
          <w:rFonts w:ascii="Times New Roman" w:cs="Times New Roman" w:eastAsia="Times New Roman" w:hAnsi="Times New Roman"/>
          <w:color w:val="0e0e0e"/>
          <w:sz w:val="21"/>
          <w:szCs w:val="21"/>
        </w:rPr>
      </w:pPr>
      <w:r w:rsidDel="00000000" w:rsidR="00000000" w:rsidRPr="00000000">
        <w:rPr>
          <w:rFonts w:ascii="Times New Roman" w:cs="Times New Roman" w:eastAsia="Times New Roman" w:hAnsi="Times New Roman"/>
          <w:color w:val="0e0e0e"/>
          <w:sz w:val="21"/>
          <w:szCs w:val="21"/>
          <w:rtl w:val="0"/>
        </w:rPr>
        <w:t xml:space="preserve">1. </w:t>
        <w:tab/>
      </w:r>
      <w:hyperlink r:id="rId6">
        <w:r w:rsidDel="00000000" w:rsidR="00000000" w:rsidRPr="00000000">
          <w:rPr>
            <w:rFonts w:ascii="Times New Roman" w:cs="Times New Roman" w:eastAsia="Times New Roman" w:hAnsi="Times New Roman"/>
            <w:color w:val="0000ff"/>
            <w:sz w:val="21"/>
            <w:szCs w:val="21"/>
            <w:u w:val="single"/>
            <w:rtl w:val="0"/>
          </w:rPr>
          <w:t xml:space="preserve">Comparison of Complication Rates of Minimally Invasive Transforaminal Lumbar Interbody Fusion and Lateral Lumbar Interbody Fusion: A Systematic Review of the Literature.</w:t>
        </w:r>
      </w:hyperlink>
      <w:r w:rsidDel="00000000" w:rsidR="00000000" w:rsidRPr="00000000">
        <w:rPr>
          <w:rFonts w:ascii="Times New Roman" w:cs="Times New Roman" w:eastAsia="Times New Roman" w:hAnsi="Times New Roman"/>
          <w:color w:val="0e0e0e"/>
          <w:sz w:val="21"/>
          <w:szCs w:val="21"/>
          <w:rtl w:val="0"/>
        </w:rPr>
        <w:t xml:space="preserve"> Joseph JR, Smith BW, La Marca F, Park P. Neurosurgical Focus. 2015;39(4):E4. doi:10.3171/2015.7.FOCUS15278.</w:t>
      </w:r>
    </w:p>
    <w:p w:rsidR="00000000" w:rsidDel="00000000" w:rsidP="00000000" w:rsidRDefault="00000000" w:rsidRPr="00000000" w14:paraId="0000006A">
      <w:pPr>
        <w:spacing w:line="301.09090909090907" w:lineRule="auto"/>
        <w:ind w:left="720" w:firstLine="0"/>
        <w:rPr>
          <w:rFonts w:ascii="Times New Roman" w:cs="Times New Roman" w:eastAsia="Times New Roman" w:hAnsi="Times New Roman"/>
          <w:color w:val="0e0e0e"/>
          <w:sz w:val="21"/>
          <w:szCs w:val="21"/>
        </w:rPr>
      </w:pPr>
      <w:r w:rsidDel="00000000" w:rsidR="00000000" w:rsidRPr="00000000">
        <w:rPr>
          <w:rFonts w:ascii="Times New Roman" w:cs="Times New Roman" w:eastAsia="Times New Roman" w:hAnsi="Times New Roman"/>
          <w:color w:val="0e0e0e"/>
          <w:sz w:val="21"/>
          <w:szCs w:val="21"/>
          <w:rtl w:val="0"/>
        </w:rPr>
        <w:t xml:space="preserve">2. </w:t>
        <w:tab/>
      </w:r>
      <w:hyperlink r:id="rId7">
        <w:r w:rsidDel="00000000" w:rsidR="00000000" w:rsidRPr="00000000">
          <w:rPr>
            <w:rFonts w:ascii="Times New Roman" w:cs="Times New Roman" w:eastAsia="Times New Roman" w:hAnsi="Times New Roman"/>
            <w:color w:val="0000ff"/>
            <w:sz w:val="21"/>
            <w:szCs w:val="21"/>
            <w:u w:val="single"/>
            <w:rtl w:val="0"/>
          </w:rPr>
          <w:t xml:space="preserve">Lateral Lumbar Interbody Fusion: A Systematic Review of Complication Rates.</w:t>
        </w:r>
      </w:hyperlink>
      <w:r w:rsidDel="00000000" w:rsidR="00000000" w:rsidRPr="00000000">
        <w:rPr>
          <w:rFonts w:ascii="Times New Roman" w:cs="Times New Roman" w:eastAsia="Times New Roman" w:hAnsi="Times New Roman"/>
          <w:color w:val="0e0e0e"/>
          <w:sz w:val="21"/>
          <w:szCs w:val="21"/>
          <w:rtl w:val="0"/>
        </w:rPr>
        <w:t xml:space="preserve"> Hijji FY, Narain AS, Bohl DD, et al. The Spine Journal : Official Journal of the North American Spine Society. 2017;17(10):1412-1419. doi:10.1016/j.spinee.2017.04.022.</w:t>
      </w:r>
    </w:p>
    <w:p w:rsidR="00000000" w:rsidDel="00000000" w:rsidP="00000000" w:rsidRDefault="00000000" w:rsidRPr="00000000" w14:paraId="0000006B">
      <w:pPr>
        <w:spacing w:line="301.09090909090907" w:lineRule="auto"/>
        <w:ind w:left="720" w:firstLine="0"/>
        <w:rPr>
          <w:rFonts w:ascii="Times New Roman" w:cs="Times New Roman" w:eastAsia="Times New Roman" w:hAnsi="Times New Roman"/>
          <w:color w:val="0e0e0e"/>
          <w:sz w:val="21"/>
          <w:szCs w:val="21"/>
        </w:rPr>
      </w:pPr>
      <w:r w:rsidDel="00000000" w:rsidR="00000000" w:rsidRPr="00000000">
        <w:rPr>
          <w:rFonts w:ascii="Times New Roman" w:cs="Times New Roman" w:eastAsia="Times New Roman" w:hAnsi="Times New Roman"/>
          <w:color w:val="0e0e0e"/>
          <w:sz w:val="21"/>
          <w:szCs w:val="21"/>
          <w:rtl w:val="0"/>
        </w:rPr>
        <w:t xml:space="preserve">3. </w:t>
        <w:tab/>
      </w:r>
      <w:hyperlink r:id="rId8">
        <w:r w:rsidDel="00000000" w:rsidR="00000000" w:rsidRPr="00000000">
          <w:rPr>
            <w:rFonts w:ascii="Times New Roman" w:cs="Times New Roman" w:eastAsia="Times New Roman" w:hAnsi="Times New Roman"/>
            <w:color w:val="0000ff"/>
            <w:sz w:val="21"/>
            <w:szCs w:val="21"/>
            <w:u w:val="single"/>
            <w:rtl w:val="0"/>
          </w:rPr>
          <w:t xml:space="preserve">Complications Associated With Lateral Interbody Fusion: Nationwide Survey of 2998 Cases During the First 2 Years of Its Use in Japan.</w:t>
        </w:r>
      </w:hyperlink>
      <w:r w:rsidDel="00000000" w:rsidR="00000000" w:rsidRPr="00000000">
        <w:rPr>
          <w:rFonts w:ascii="Times New Roman" w:cs="Times New Roman" w:eastAsia="Times New Roman" w:hAnsi="Times New Roman"/>
          <w:color w:val="0e0e0e"/>
          <w:sz w:val="21"/>
          <w:szCs w:val="21"/>
          <w:rtl w:val="0"/>
        </w:rPr>
        <w:t xml:space="preserve"> Fujibayashi S, Kawakami N, Asazuma T, et al. Spine. 2017;42(19):1478-1484. doi:10.1097/BRS.0000000000002139.</w:t>
      </w:r>
    </w:p>
    <w:p w:rsidR="00000000" w:rsidDel="00000000" w:rsidP="00000000" w:rsidRDefault="00000000" w:rsidRPr="00000000" w14:paraId="0000006C">
      <w:pPr>
        <w:spacing w:line="301.09090909090907" w:lineRule="auto"/>
        <w:ind w:left="720" w:firstLine="0"/>
        <w:rPr>
          <w:rFonts w:ascii="Times New Roman" w:cs="Times New Roman" w:eastAsia="Times New Roman" w:hAnsi="Times New Roman"/>
          <w:color w:val="0e0e0e"/>
          <w:sz w:val="21"/>
          <w:szCs w:val="21"/>
        </w:rPr>
      </w:pPr>
      <w:r w:rsidDel="00000000" w:rsidR="00000000" w:rsidRPr="00000000">
        <w:rPr>
          <w:rFonts w:ascii="Times New Roman" w:cs="Times New Roman" w:eastAsia="Times New Roman" w:hAnsi="Times New Roman"/>
          <w:color w:val="0e0e0e"/>
          <w:sz w:val="21"/>
          <w:szCs w:val="21"/>
          <w:rtl w:val="0"/>
        </w:rPr>
        <w:t xml:space="preserve">4. </w:t>
        <w:tab/>
      </w:r>
      <w:hyperlink r:id="rId9">
        <w:r w:rsidDel="00000000" w:rsidR="00000000" w:rsidRPr="00000000">
          <w:rPr>
            <w:rFonts w:ascii="Times New Roman" w:cs="Times New Roman" w:eastAsia="Times New Roman" w:hAnsi="Times New Roman"/>
            <w:color w:val="0000ff"/>
            <w:sz w:val="21"/>
            <w:szCs w:val="21"/>
            <w:u w:val="single"/>
            <w:rtl w:val="0"/>
          </w:rPr>
          <w:t xml:space="preserve">Complications Associated With Single-Position Prone Lateral Lumbar Interbody Fusion: A Systematic Review and Pooled Analysis.</w:t>
        </w:r>
      </w:hyperlink>
      <w:r w:rsidDel="00000000" w:rsidR="00000000" w:rsidRPr="00000000">
        <w:rPr>
          <w:rFonts w:ascii="Times New Roman" w:cs="Times New Roman" w:eastAsia="Times New Roman" w:hAnsi="Times New Roman"/>
          <w:color w:val="0e0e0e"/>
          <w:sz w:val="21"/>
          <w:szCs w:val="21"/>
          <w:rtl w:val="0"/>
        </w:rPr>
        <w:t xml:space="preserve"> Farber SH, Valenzuela Cecchi B, O'Neill LK, et al. Journal of Neurosurgery. Spine. 2023;39(3):380-386. doi:10.3171/2023.4.SPINE221180.</w:t>
      </w:r>
    </w:p>
    <w:p w:rsidR="00000000" w:rsidDel="00000000" w:rsidP="00000000" w:rsidRDefault="00000000" w:rsidRPr="00000000" w14:paraId="0000006D">
      <w:pPr>
        <w:spacing w:line="301.09090909090907" w:lineRule="auto"/>
        <w:ind w:left="720" w:firstLine="0"/>
        <w:rPr>
          <w:rFonts w:ascii="Times New Roman" w:cs="Times New Roman" w:eastAsia="Times New Roman" w:hAnsi="Times New Roman"/>
          <w:color w:val="0e0e0e"/>
          <w:sz w:val="21"/>
          <w:szCs w:val="21"/>
        </w:rPr>
      </w:pPr>
      <w:r w:rsidDel="00000000" w:rsidR="00000000" w:rsidRPr="00000000">
        <w:rPr>
          <w:rFonts w:ascii="Times New Roman" w:cs="Times New Roman" w:eastAsia="Times New Roman" w:hAnsi="Times New Roman"/>
          <w:color w:val="0e0e0e"/>
          <w:sz w:val="21"/>
          <w:szCs w:val="21"/>
          <w:rtl w:val="0"/>
        </w:rPr>
        <w:t xml:space="preserve">5. </w:t>
        <w:tab/>
      </w:r>
      <w:hyperlink r:id="rId10">
        <w:r w:rsidDel="00000000" w:rsidR="00000000" w:rsidRPr="00000000">
          <w:rPr>
            <w:rFonts w:ascii="Times New Roman" w:cs="Times New Roman" w:eastAsia="Times New Roman" w:hAnsi="Times New Roman"/>
            <w:color w:val="0000ff"/>
            <w:sz w:val="21"/>
            <w:szCs w:val="21"/>
            <w:u w:val="single"/>
            <w:rtl w:val="0"/>
          </w:rPr>
          <w:t xml:space="preserve">Lateral Lumbar Interbody Fusion: Indications, Outcomes, and Complications.</w:t>
        </w:r>
      </w:hyperlink>
      <w:r w:rsidDel="00000000" w:rsidR="00000000" w:rsidRPr="00000000">
        <w:rPr>
          <w:rFonts w:ascii="Times New Roman" w:cs="Times New Roman" w:eastAsia="Times New Roman" w:hAnsi="Times New Roman"/>
          <w:color w:val="0e0e0e"/>
          <w:sz w:val="21"/>
          <w:szCs w:val="21"/>
          <w:rtl w:val="0"/>
        </w:rPr>
        <w:t xml:space="preserve"> Kwon B, Kim DH. The Journal of the American Academy of Orthopaedic Surgeons. 2016;24(2):96-105. doi:10.5435/JAAOS-D-14-00208.</w:t>
      </w:r>
    </w:p>
    <w:p w:rsidR="00000000" w:rsidDel="00000000" w:rsidP="00000000" w:rsidRDefault="00000000" w:rsidRPr="00000000" w14:paraId="0000006E">
      <w:pPr>
        <w:spacing w:line="301.09090909090907" w:lineRule="auto"/>
        <w:ind w:left="720" w:firstLine="0"/>
        <w:rPr>
          <w:rFonts w:ascii="Times New Roman" w:cs="Times New Roman" w:eastAsia="Times New Roman" w:hAnsi="Times New Roman"/>
          <w:color w:val="0e0e0e"/>
          <w:sz w:val="21"/>
          <w:szCs w:val="21"/>
        </w:rPr>
      </w:pPr>
      <w:r w:rsidDel="00000000" w:rsidR="00000000" w:rsidRPr="00000000">
        <w:rPr>
          <w:rFonts w:ascii="Times New Roman" w:cs="Times New Roman" w:eastAsia="Times New Roman" w:hAnsi="Times New Roman"/>
          <w:color w:val="0e0e0e"/>
          <w:sz w:val="21"/>
          <w:szCs w:val="21"/>
          <w:rtl w:val="0"/>
        </w:rPr>
        <w:t xml:space="preserve">6. </w:t>
        <w:tab/>
      </w:r>
      <w:hyperlink r:id="rId11">
        <w:r w:rsidDel="00000000" w:rsidR="00000000" w:rsidRPr="00000000">
          <w:rPr>
            <w:rFonts w:ascii="Times New Roman" w:cs="Times New Roman" w:eastAsia="Times New Roman" w:hAnsi="Times New Roman"/>
            <w:color w:val="0000ff"/>
            <w:sz w:val="21"/>
            <w:szCs w:val="21"/>
            <w:u w:val="single"/>
            <w:rtl w:val="0"/>
          </w:rPr>
          <w:t xml:space="preserve">Lateral Lumbar Interbody Fusion at L4-L5 Has a Low Rate of Complications in Appropriately Selected Patients When Using a Standardized Surgical Technique.</w:t>
        </w:r>
      </w:hyperlink>
      <w:r w:rsidDel="00000000" w:rsidR="00000000" w:rsidRPr="00000000">
        <w:rPr>
          <w:rFonts w:ascii="Times New Roman" w:cs="Times New Roman" w:eastAsia="Times New Roman" w:hAnsi="Times New Roman"/>
          <w:color w:val="0e0e0e"/>
          <w:sz w:val="21"/>
          <w:szCs w:val="21"/>
          <w:rtl w:val="0"/>
        </w:rPr>
        <w:t xml:space="preserve"> Buckland AJ, Huynh NV, Menezes CM, et al. The Bone &amp; Joint Journal. 2024;106-B(1):53-61. doi:10.1302/0301-620X.106B1.BJJ-2023-0693.R2.</w:t>
      </w:r>
    </w:p>
    <w:p w:rsidR="00000000" w:rsidDel="00000000" w:rsidP="00000000" w:rsidRDefault="00000000" w:rsidRPr="00000000" w14:paraId="0000006F">
      <w:pPr>
        <w:spacing w:line="301.09090909090907" w:lineRule="auto"/>
        <w:ind w:left="720" w:firstLine="0"/>
        <w:rPr>
          <w:rFonts w:ascii="Times New Roman" w:cs="Times New Roman" w:eastAsia="Times New Roman" w:hAnsi="Times New Roman"/>
          <w:color w:val="0e0e0e"/>
          <w:sz w:val="21"/>
          <w:szCs w:val="21"/>
        </w:rPr>
      </w:pPr>
      <w:r w:rsidDel="00000000" w:rsidR="00000000" w:rsidRPr="00000000">
        <w:rPr>
          <w:rFonts w:ascii="Times New Roman" w:cs="Times New Roman" w:eastAsia="Times New Roman" w:hAnsi="Times New Roman"/>
          <w:color w:val="0e0e0e"/>
          <w:sz w:val="21"/>
          <w:szCs w:val="21"/>
          <w:rtl w:val="0"/>
        </w:rPr>
        <w:t xml:space="preserve">7. </w:t>
        <w:tab/>
      </w:r>
      <w:hyperlink r:id="rId12">
        <w:r w:rsidDel="00000000" w:rsidR="00000000" w:rsidRPr="00000000">
          <w:rPr>
            <w:rFonts w:ascii="Times New Roman" w:cs="Times New Roman" w:eastAsia="Times New Roman" w:hAnsi="Times New Roman"/>
            <w:color w:val="0000ff"/>
            <w:sz w:val="21"/>
            <w:szCs w:val="21"/>
            <w:u w:val="single"/>
            <w:rtl w:val="0"/>
          </w:rPr>
          <w:t xml:space="preserve">Surgical Approach and Complications of Stand-Alone Lateral Trans-Psoas Interbody Fusion.</w:t>
        </w:r>
      </w:hyperlink>
      <w:r w:rsidDel="00000000" w:rsidR="00000000" w:rsidRPr="00000000">
        <w:rPr>
          <w:rFonts w:ascii="Times New Roman" w:cs="Times New Roman" w:eastAsia="Times New Roman" w:hAnsi="Times New Roman"/>
          <w:color w:val="0e0e0e"/>
          <w:sz w:val="21"/>
          <w:szCs w:val="21"/>
          <w:rtl w:val="0"/>
        </w:rPr>
        <w:t xml:space="preserve"> Gerstmeyer J, Godolias P, Schildhauer TA, et al. Journal of Visualized Experiments : JoVE. 2025;(216). doi:10.3791/66878.</w:t>
      </w:r>
    </w:p>
    <w:p w:rsidR="00000000" w:rsidDel="00000000" w:rsidP="00000000" w:rsidRDefault="00000000" w:rsidRPr="00000000" w14:paraId="00000070">
      <w:pPr>
        <w:spacing w:line="301.09090909090907" w:lineRule="auto"/>
        <w:ind w:left="720" w:firstLine="0"/>
        <w:rPr>
          <w:rFonts w:ascii="Times New Roman" w:cs="Times New Roman" w:eastAsia="Times New Roman" w:hAnsi="Times New Roman"/>
          <w:color w:val="0e0e0e"/>
          <w:sz w:val="21"/>
          <w:szCs w:val="21"/>
        </w:rPr>
      </w:pPr>
      <w:r w:rsidDel="00000000" w:rsidR="00000000" w:rsidRPr="00000000">
        <w:rPr>
          <w:rFonts w:ascii="Times New Roman" w:cs="Times New Roman" w:eastAsia="Times New Roman" w:hAnsi="Times New Roman"/>
          <w:color w:val="0e0e0e"/>
          <w:sz w:val="21"/>
          <w:szCs w:val="21"/>
          <w:rtl w:val="0"/>
        </w:rPr>
        <w:t xml:space="preserve">8. </w:t>
        <w:tab/>
      </w:r>
      <w:hyperlink r:id="rId13">
        <w:r w:rsidDel="00000000" w:rsidR="00000000" w:rsidRPr="00000000">
          <w:rPr>
            <w:rFonts w:ascii="Times New Roman" w:cs="Times New Roman" w:eastAsia="Times New Roman" w:hAnsi="Times New Roman"/>
            <w:color w:val="0000ff"/>
            <w:sz w:val="21"/>
            <w:szCs w:val="21"/>
            <w:u w:val="single"/>
            <w:rtl w:val="0"/>
          </w:rPr>
          <w:t xml:space="preserve">Risk Factors for Cage Migration Following Lateral Lumbar Interbody Fusion Combined With Posterior Instrumentation: A Multicenter Retrospective Study of 983 Cases.</w:t>
        </w:r>
      </w:hyperlink>
      <w:r w:rsidDel="00000000" w:rsidR="00000000" w:rsidRPr="00000000">
        <w:rPr>
          <w:rFonts w:ascii="Times New Roman" w:cs="Times New Roman" w:eastAsia="Times New Roman" w:hAnsi="Times New Roman"/>
          <w:color w:val="0e0e0e"/>
          <w:sz w:val="21"/>
          <w:szCs w:val="21"/>
          <w:rtl w:val="0"/>
        </w:rPr>
        <w:t xml:space="preserve"> Kimura H, Fujibayashi S, Otsuki B, et al. Spine. 2023;48(24):1741-1748. doi:10.1097/BRS.0000000000004602.</w:t>
      </w:r>
    </w:p>
    <w:p w:rsidR="00000000" w:rsidDel="00000000" w:rsidP="00000000" w:rsidRDefault="00000000" w:rsidRPr="00000000" w14:paraId="00000071">
      <w:pPr>
        <w:spacing w:line="301.09090909090907" w:lineRule="auto"/>
        <w:ind w:left="720" w:firstLine="0"/>
        <w:rPr>
          <w:rFonts w:ascii="Times New Roman" w:cs="Times New Roman" w:eastAsia="Times New Roman" w:hAnsi="Times New Roman"/>
          <w:color w:val="0e0e0e"/>
          <w:sz w:val="21"/>
          <w:szCs w:val="21"/>
        </w:rPr>
      </w:pPr>
      <w:r w:rsidDel="00000000" w:rsidR="00000000" w:rsidRPr="00000000">
        <w:rPr>
          <w:rFonts w:ascii="Times New Roman" w:cs="Times New Roman" w:eastAsia="Times New Roman" w:hAnsi="Times New Roman"/>
          <w:color w:val="0e0e0e"/>
          <w:sz w:val="21"/>
          <w:szCs w:val="21"/>
          <w:rtl w:val="0"/>
        </w:rPr>
        <w:t xml:space="preserve">9. </w:t>
        <w:tab/>
      </w:r>
      <w:hyperlink r:id="rId14">
        <w:r w:rsidDel="00000000" w:rsidR="00000000" w:rsidRPr="00000000">
          <w:rPr>
            <w:rFonts w:ascii="Times New Roman" w:cs="Times New Roman" w:eastAsia="Times New Roman" w:hAnsi="Times New Roman"/>
            <w:color w:val="0000ff"/>
            <w:sz w:val="21"/>
            <w:szCs w:val="21"/>
            <w:u w:val="single"/>
            <w:rtl w:val="0"/>
          </w:rPr>
          <w:t xml:space="preserve">Facet Joint Violation After Single-Position Versus Dual-Position Lateral Interbody Fusion and Percutaneous Pedicle Screw Fixation: A Comparison of Two Techniques.</w:t>
        </w:r>
      </w:hyperlink>
      <w:r w:rsidDel="00000000" w:rsidR="00000000" w:rsidRPr="00000000">
        <w:rPr>
          <w:rFonts w:ascii="Times New Roman" w:cs="Times New Roman" w:eastAsia="Times New Roman" w:hAnsi="Times New Roman"/>
          <w:color w:val="0e0e0e"/>
          <w:sz w:val="21"/>
          <w:szCs w:val="21"/>
          <w:rtl w:val="0"/>
        </w:rPr>
        <w:t xml:space="preserve"> Hiyama A, Katoh H, Sakai D, et al. Journal of Clinical Neuroscience : Official Journal of the Neurosurgical Society of Australasia. 2020;78:47-52. doi:10.1016/j.jocn.2020.06.016.</w:t>
      </w:r>
    </w:p>
    <w:p w:rsidR="00000000" w:rsidDel="00000000" w:rsidP="00000000" w:rsidRDefault="00000000" w:rsidRPr="00000000" w14:paraId="00000072">
      <w:pPr>
        <w:spacing w:line="301.09090909090907" w:lineRule="auto"/>
        <w:ind w:left="720" w:firstLine="0"/>
        <w:rPr>
          <w:rFonts w:ascii="Times New Roman" w:cs="Times New Roman" w:eastAsia="Times New Roman" w:hAnsi="Times New Roman"/>
          <w:color w:val="0e0e0e"/>
          <w:sz w:val="21"/>
          <w:szCs w:val="21"/>
        </w:rPr>
      </w:pPr>
      <w:r w:rsidDel="00000000" w:rsidR="00000000" w:rsidRPr="00000000">
        <w:rPr>
          <w:rFonts w:ascii="Times New Roman" w:cs="Times New Roman" w:eastAsia="Times New Roman" w:hAnsi="Times New Roman"/>
          <w:color w:val="0e0e0e"/>
          <w:sz w:val="21"/>
          <w:szCs w:val="21"/>
          <w:rtl w:val="0"/>
        </w:rPr>
        <w:t xml:space="preserve">10. </w:t>
      </w:r>
      <w:hyperlink r:id="rId15">
        <w:r w:rsidDel="00000000" w:rsidR="00000000" w:rsidRPr="00000000">
          <w:rPr>
            <w:rFonts w:ascii="Times New Roman" w:cs="Times New Roman" w:eastAsia="Times New Roman" w:hAnsi="Times New Roman"/>
            <w:color w:val="0e0e0e"/>
            <w:sz w:val="21"/>
            <w:szCs w:val="21"/>
            <w:rtl w:val="0"/>
          </w:rPr>
          <w:t xml:space="preserve"> </w:t>
        </w:r>
      </w:hyperlink>
      <w:hyperlink r:id="rId16">
        <w:r w:rsidDel="00000000" w:rsidR="00000000" w:rsidRPr="00000000">
          <w:rPr>
            <w:rFonts w:ascii="Times New Roman" w:cs="Times New Roman" w:eastAsia="Times New Roman" w:hAnsi="Times New Roman"/>
            <w:color w:val="0000ff"/>
            <w:sz w:val="21"/>
            <w:szCs w:val="21"/>
            <w:u w:val="single"/>
            <w:rtl w:val="0"/>
          </w:rPr>
          <w:t xml:space="preserve">Incidence of Surgical Site Infection Following Lateral Lumbar Interbody Fusion Compared With Posterior/Transforaminal Lumbar Interbody Fusion: A Propensity Score-Weighted Study.</w:t>
        </w:r>
      </w:hyperlink>
      <w:r w:rsidDel="00000000" w:rsidR="00000000" w:rsidRPr="00000000">
        <w:rPr>
          <w:rFonts w:ascii="Times New Roman" w:cs="Times New Roman" w:eastAsia="Times New Roman" w:hAnsi="Times New Roman"/>
          <w:color w:val="0e0e0e"/>
          <w:sz w:val="21"/>
          <w:szCs w:val="21"/>
          <w:rtl w:val="0"/>
        </w:rPr>
        <w:t xml:space="preserve"> Masuda S, Fukasawa T, Takeuchi M, et al. Spine. 2023;48(13):901-907. doi:10.1097/BRS.0000000000004587.</w:t>
      </w:r>
    </w:p>
    <w:p w:rsidR="00000000" w:rsidDel="00000000" w:rsidP="00000000" w:rsidRDefault="00000000" w:rsidRPr="00000000" w14:paraId="00000073">
      <w:pPr>
        <w:spacing w:line="301.09090909090907" w:lineRule="auto"/>
        <w:ind w:left="720" w:firstLine="0"/>
        <w:rPr>
          <w:rFonts w:ascii="Times New Roman" w:cs="Times New Roman" w:eastAsia="Times New Roman" w:hAnsi="Times New Roman"/>
          <w:color w:val="0e0e0e"/>
          <w:sz w:val="21"/>
          <w:szCs w:val="21"/>
        </w:rPr>
      </w:pPr>
      <w:r w:rsidDel="00000000" w:rsidR="00000000" w:rsidRPr="00000000">
        <w:rPr>
          <w:rFonts w:ascii="Times New Roman" w:cs="Times New Roman" w:eastAsia="Times New Roman" w:hAnsi="Times New Roman"/>
          <w:color w:val="0e0e0e"/>
          <w:sz w:val="21"/>
          <w:szCs w:val="21"/>
          <w:rtl w:val="0"/>
        </w:rPr>
        <w:t xml:space="preserve">11. </w:t>
      </w:r>
      <w:hyperlink r:id="rId17">
        <w:r w:rsidDel="00000000" w:rsidR="00000000" w:rsidRPr="00000000">
          <w:rPr>
            <w:rFonts w:ascii="Times New Roman" w:cs="Times New Roman" w:eastAsia="Times New Roman" w:hAnsi="Times New Roman"/>
            <w:color w:val="0e0e0e"/>
            <w:sz w:val="21"/>
            <w:szCs w:val="21"/>
            <w:rtl w:val="0"/>
          </w:rPr>
          <w:t xml:space="preserve"> </w:t>
        </w:r>
      </w:hyperlink>
      <w:hyperlink r:id="rId18">
        <w:r w:rsidDel="00000000" w:rsidR="00000000" w:rsidRPr="00000000">
          <w:rPr>
            <w:rFonts w:ascii="Times New Roman" w:cs="Times New Roman" w:eastAsia="Times New Roman" w:hAnsi="Times New Roman"/>
            <w:color w:val="0000ff"/>
            <w:sz w:val="21"/>
            <w:szCs w:val="21"/>
            <w:u w:val="single"/>
            <w:rtl w:val="0"/>
          </w:rPr>
          <w:t xml:space="preserve">MIS Single-Position Lateral and Oblique Lateral Lumbar Interbody Fusion and Bilateral Pedicle Screw Fixation: Feasibility and Perioperative Results.</w:t>
        </w:r>
      </w:hyperlink>
      <w:r w:rsidDel="00000000" w:rsidR="00000000" w:rsidRPr="00000000">
        <w:rPr>
          <w:rFonts w:ascii="Times New Roman" w:cs="Times New Roman" w:eastAsia="Times New Roman" w:hAnsi="Times New Roman"/>
          <w:color w:val="0e0e0e"/>
          <w:sz w:val="21"/>
          <w:szCs w:val="21"/>
          <w:rtl w:val="0"/>
        </w:rPr>
        <w:t xml:space="preserve"> Blizzard DJ, Thomas JA. Spine. 2018;43(6):440-446. doi:10.1097/BRS.0000000000002330.</w:t>
      </w:r>
    </w:p>
    <w:p w:rsidR="00000000" w:rsidDel="00000000" w:rsidP="00000000" w:rsidRDefault="00000000" w:rsidRPr="00000000" w14:paraId="00000074">
      <w:pPr>
        <w:spacing w:line="301.09090909090907" w:lineRule="auto"/>
        <w:ind w:left="720" w:firstLine="0"/>
        <w:rPr>
          <w:color w:val="0e0e0e"/>
          <w:sz w:val="21"/>
          <w:szCs w:val="21"/>
        </w:rPr>
      </w:pPr>
      <w:r w:rsidDel="00000000" w:rsidR="00000000" w:rsidRPr="00000000">
        <w:rPr>
          <w:rFonts w:ascii="Times New Roman" w:cs="Times New Roman" w:eastAsia="Times New Roman" w:hAnsi="Times New Roman"/>
          <w:color w:val="0e0e0e"/>
          <w:sz w:val="21"/>
          <w:szCs w:val="21"/>
          <w:rtl w:val="0"/>
        </w:rPr>
        <w:t xml:space="preserve">12. </w:t>
      </w:r>
      <w:hyperlink r:id="rId19">
        <w:r w:rsidDel="00000000" w:rsidR="00000000" w:rsidRPr="00000000">
          <w:rPr>
            <w:rFonts w:ascii="Times New Roman" w:cs="Times New Roman" w:eastAsia="Times New Roman" w:hAnsi="Times New Roman"/>
            <w:color w:val="0e0e0e"/>
            <w:sz w:val="21"/>
            <w:szCs w:val="21"/>
            <w:rtl w:val="0"/>
          </w:rPr>
          <w:t xml:space="preserve"> </w:t>
        </w:r>
      </w:hyperlink>
      <w:hyperlink r:id="rId20">
        <w:r w:rsidDel="00000000" w:rsidR="00000000" w:rsidRPr="00000000">
          <w:rPr>
            <w:rFonts w:ascii="Times New Roman" w:cs="Times New Roman" w:eastAsia="Times New Roman" w:hAnsi="Times New Roman"/>
            <w:color w:val="0000ff"/>
            <w:sz w:val="21"/>
            <w:szCs w:val="21"/>
            <w:u w:val="single"/>
            <w:rtl w:val="0"/>
          </w:rPr>
          <w:t xml:space="preserve">Approach-Based Comparative and Predictor Analysis of 30-Day Readmission, Reoperation, and Morbidity in Patients Undergoing Lumbar Interbody Fusion Using the ACS-NSQIP Dataset.</w:t>
        </w:r>
      </w:hyperlink>
      <w:r w:rsidDel="00000000" w:rsidR="00000000" w:rsidRPr="00000000">
        <w:rPr>
          <w:rFonts w:ascii="Times New Roman" w:cs="Times New Roman" w:eastAsia="Times New Roman" w:hAnsi="Times New Roman"/>
          <w:color w:val="0e0e0e"/>
          <w:sz w:val="21"/>
          <w:szCs w:val="21"/>
          <w:rtl w:val="0"/>
        </w:rPr>
        <w:t xml:space="preserve"> Katz AD, Mancini N, Karukonda T, et al. Spine. 2019;44(6):432-441. doi:10.1097/BRS.0000000000002850.</w:t>
      </w:r>
      <w:r w:rsidDel="00000000" w:rsidR="00000000" w:rsidRPr="00000000">
        <w:rPr>
          <w:rtl w:val="0"/>
        </w:rPr>
      </w:r>
    </w:p>
    <w:sectPr>
      <w:headerReference r:id="rId21" w:type="default"/>
      <w:headerReference r:id="rId22" w:type="first"/>
      <w:footerReference r:id="rId23" w:type="default"/>
      <w:footerReference r:id="rId24"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5229225</wp:posOffset>
          </wp:positionH>
          <wp:positionV relativeFrom="paragraph">
            <wp:posOffset>-285749</wp:posOffset>
          </wp:positionV>
          <wp:extent cx="1414481" cy="437816"/>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14481" cy="437816"/>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-628649</wp:posOffset>
          </wp:positionH>
          <wp:positionV relativeFrom="paragraph">
            <wp:posOffset>-219074</wp:posOffset>
          </wp:positionV>
          <wp:extent cx="1419225" cy="308527"/>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19225" cy="30852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pubmed.ncbi.nlm.nih.gov/30138253" TargetMode="External"/><Relationship Id="rId11" Type="http://schemas.openxmlformats.org/officeDocument/2006/relationships/hyperlink" Target="https://pubmed.ncbi.nlm.nih.gov/38164083" TargetMode="External"/><Relationship Id="rId22" Type="http://schemas.openxmlformats.org/officeDocument/2006/relationships/header" Target="header2.xml"/><Relationship Id="rId10" Type="http://schemas.openxmlformats.org/officeDocument/2006/relationships/hyperlink" Target="https://pubmed.ncbi.nlm.nih.gov/26803545" TargetMode="External"/><Relationship Id="rId21" Type="http://schemas.openxmlformats.org/officeDocument/2006/relationships/header" Target="header1.xml"/><Relationship Id="rId13" Type="http://schemas.openxmlformats.org/officeDocument/2006/relationships/hyperlink" Target="https://pubmed.ncbi.nlm.nih.gov/36763826" TargetMode="External"/><Relationship Id="rId24" Type="http://schemas.openxmlformats.org/officeDocument/2006/relationships/footer" Target="footer1.xml"/><Relationship Id="rId12" Type="http://schemas.openxmlformats.org/officeDocument/2006/relationships/hyperlink" Target="https://pubmed.ncbi.nlm.nih.gov/40029827" TargetMode="External"/><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bmed.ncbi.nlm.nih.gov/37310041" TargetMode="External"/><Relationship Id="rId15" Type="http://schemas.openxmlformats.org/officeDocument/2006/relationships/hyperlink" Target="https://pubmed.ncbi.nlm.nih.gov/36716385" TargetMode="External"/><Relationship Id="rId14" Type="http://schemas.openxmlformats.org/officeDocument/2006/relationships/hyperlink" Target="https://pubmed.ncbi.nlm.nih.gov/32616353" TargetMode="External"/><Relationship Id="rId17" Type="http://schemas.openxmlformats.org/officeDocument/2006/relationships/hyperlink" Target="https://pubmed.ncbi.nlm.nih.gov/28704331" TargetMode="External"/><Relationship Id="rId16" Type="http://schemas.openxmlformats.org/officeDocument/2006/relationships/hyperlink" Target="https://pubmed.ncbi.nlm.nih.gov/36716385" TargetMode="External"/><Relationship Id="rId5" Type="http://schemas.openxmlformats.org/officeDocument/2006/relationships/styles" Target="styles.xml"/><Relationship Id="rId19" Type="http://schemas.openxmlformats.org/officeDocument/2006/relationships/hyperlink" Target="https://pubmed.ncbi.nlm.nih.gov/30138253" TargetMode="External"/><Relationship Id="rId6" Type="http://schemas.openxmlformats.org/officeDocument/2006/relationships/hyperlink" Target="https://pubmed.ncbi.nlm.nih.gov/26424344" TargetMode="External"/><Relationship Id="rId18" Type="http://schemas.openxmlformats.org/officeDocument/2006/relationships/hyperlink" Target="https://pubmed.ncbi.nlm.nih.gov/28704331" TargetMode="External"/><Relationship Id="rId7" Type="http://schemas.openxmlformats.org/officeDocument/2006/relationships/hyperlink" Target="https://pubmed.ncbi.nlm.nih.gov/28456671" TargetMode="External"/><Relationship Id="rId8" Type="http://schemas.openxmlformats.org/officeDocument/2006/relationships/hyperlink" Target="https://pubmed.ncbi.nlm.nih.gov/2825255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