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CC38" w14:textId="02D633D3" w:rsidR="006E7181" w:rsidRPr="006E7181" w:rsidRDefault="006E7181" w:rsidP="006E7181">
      <w:pPr>
        <w:pStyle w:val="Heading3"/>
        <w:jc w:val="center"/>
        <w:rPr>
          <w:color w:val="000000" w:themeColor="text1"/>
        </w:rPr>
      </w:pPr>
      <w:r w:rsidRPr="006E7181">
        <w:rPr>
          <w:color w:val="000000" w:themeColor="text1"/>
        </w:rPr>
        <w:t>Cervical S</w:t>
      </w:r>
      <w:r>
        <w:rPr>
          <w:color w:val="000000" w:themeColor="text1"/>
        </w:rPr>
        <w:t>elective Nerve Root Block (SNRB)</w:t>
      </w:r>
    </w:p>
    <w:p w14:paraId="58E92947" w14:textId="77602514" w:rsidR="006E7181" w:rsidRPr="006E7181" w:rsidRDefault="006E7181" w:rsidP="006E7181">
      <w:pPr>
        <w:jc w:val="center"/>
        <w:rPr>
          <w:sz w:val="28"/>
          <w:szCs w:val="28"/>
        </w:rPr>
      </w:pPr>
      <w:r>
        <w:rPr>
          <w:color w:val="000000" w:themeColor="text1"/>
          <w:sz w:val="28"/>
          <w:szCs w:val="28"/>
        </w:rPr>
        <w:t>CONSENT</w:t>
      </w:r>
    </w:p>
    <w:p w14:paraId="5EA594F5" w14:textId="0AEB5BA6" w:rsidR="006E7181" w:rsidRDefault="006E7181" w:rsidP="006E7181">
      <w:pPr>
        <w:spacing w:after="240"/>
      </w:pPr>
      <w:r>
        <w:br/>
        <w:t>This document outlines the risks and potential complication rates associated with cervical selective nerve root block (SNRB). The following information is based on recent evidence from multicenter studies, prospective trials, and consensus guidelines.</w:t>
      </w:r>
      <w:r>
        <w:br/>
      </w:r>
      <w:r>
        <w:br/>
      </w:r>
      <w:r>
        <w:rPr>
          <w:rStyle w:val="Strong"/>
        </w:rPr>
        <w:t>Common Risks and Estimated Incidence:</w:t>
      </w:r>
      <w:r>
        <w:br/>
      </w:r>
      <w:r>
        <w:br/>
        <w:t>- Any complication: 5–15% (includes both minor and major complications)</w:t>
      </w:r>
      <w:hyperlink r:id="rId7" w:history="1">
        <w:r>
          <w:rPr>
            <w:rStyle w:val="Hyperlink"/>
          </w:rPr>
          <w:t>[1]</w:t>
        </w:r>
      </w:hyperlink>
      <w:hyperlink r:id="rId8" w:history="1">
        <w:r>
          <w:rPr>
            <w:rStyle w:val="Hyperlink"/>
          </w:rPr>
          <w:t>[2]</w:t>
        </w:r>
      </w:hyperlink>
      <w:hyperlink r:id="rId9" w:history="1">
        <w:r>
          <w:rPr>
            <w:rStyle w:val="Hyperlink"/>
          </w:rPr>
          <w:t>[3]</w:t>
        </w:r>
      </w:hyperlink>
      <w:hyperlink r:id="rId10" w:history="1">
        <w:r>
          <w:rPr>
            <w:rStyle w:val="Hyperlink"/>
          </w:rPr>
          <w:t>[4]</w:t>
        </w:r>
      </w:hyperlink>
      <w:hyperlink r:id="rId11" w:history="1">
        <w:r>
          <w:rPr>
            <w:rStyle w:val="Hyperlink"/>
          </w:rPr>
          <w:t>[5]</w:t>
        </w:r>
      </w:hyperlink>
      <w:r>
        <w:br/>
      </w:r>
      <w:r>
        <w:br/>
        <w:t>- Increased pain at injection site: 22.7%</w:t>
      </w:r>
      <w:hyperlink r:id="rId12" w:history="1">
        <w:r>
          <w:rPr>
            <w:rStyle w:val="Hyperlink"/>
          </w:rPr>
          <w:t>[2]</w:t>
        </w:r>
      </w:hyperlink>
      <w:r>
        <w:br/>
      </w:r>
      <w:r>
        <w:br/>
        <w:t>- Increased radicular pain: 18.2%</w:t>
      </w:r>
      <w:hyperlink r:id="rId13" w:history="1">
        <w:r>
          <w:rPr>
            <w:rStyle w:val="Hyperlink"/>
          </w:rPr>
          <w:t>[2]</w:t>
        </w:r>
      </w:hyperlink>
      <w:r>
        <w:br/>
      </w:r>
      <w:r>
        <w:br/>
        <w:t>- Lightheadedness or vasovagal reaction: 13.6%</w:t>
      </w:r>
      <w:hyperlink r:id="rId14" w:history="1">
        <w:r>
          <w:rPr>
            <w:rStyle w:val="Hyperlink"/>
          </w:rPr>
          <w:t>[2]</w:t>
        </w:r>
      </w:hyperlink>
      <w:hyperlink r:id="rId15" w:history="1">
        <w:r>
          <w:rPr>
            <w:rStyle w:val="Hyperlink"/>
          </w:rPr>
          <w:t>[3]</w:t>
        </w:r>
      </w:hyperlink>
      <w:hyperlink r:id="rId16" w:history="1">
        <w:r>
          <w:rPr>
            <w:rStyle w:val="Hyperlink"/>
          </w:rPr>
          <w:t>[5]</w:t>
        </w:r>
      </w:hyperlink>
      <w:r>
        <w:br/>
      </w:r>
      <w:r>
        <w:br/>
        <w:t>- Increased spine/neck pain: 9.1%</w:t>
      </w:r>
      <w:hyperlink r:id="rId17" w:history="1">
        <w:r>
          <w:rPr>
            <w:rStyle w:val="Hyperlink"/>
          </w:rPr>
          <w:t>[2]</w:t>
        </w:r>
      </w:hyperlink>
      <w:hyperlink r:id="rId18" w:history="1">
        <w:r>
          <w:rPr>
            <w:rStyle w:val="Hyperlink"/>
          </w:rPr>
          <w:t>[3]</w:t>
        </w:r>
      </w:hyperlink>
      <w:r>
        <w:br/>
      </w:r>
      <w:r>
        <w:br/>
        <w:t>- Nonspecific headache: 4.5%</w:t>
      </w:r>
      <w:hyperlink r:id="rId19" w:history="1">
        <w:r>
          <w:rPr>
            <w:rStyle w:val="Hyperlink"/>
          </w:rPr>
          <w:t>[2]</w:t>
        </w:r>
      </w:hyperlink>
      <w:r>
        <w:br/>
      </w:r>
      <w:r>
        <w:br/>
        <w:t>- Nausea: 3.4%</w:t>
      </w:r>
      <w:hyperlink r:id="rId20" w:history="1">
        <w:r>
          <w:rPr>
            <w:rStyle w:val="Hyperlink"/>
          </w:rPr>
          <w:t>[2]</w:t>
        </w:r>
      </w:hyperlink>
      <w:r>
        <w:br/>
      </w:r>
      <w:r>
        <w:br/>
        <w:t>- Dizziness: 5.4%</w:t>
      </w:r>
      <w:hyperlink r:id="rId21" w:history="1">
        <w:r>
          <w:rPr>
            <w:rStyle w:val="Hyperlink"/>
          </w:rPr>
          <w:t>[5]</w:t>
        </w:r>
      </w:hyperlink>
      <w:r>
        <w:br/>
      </w:r>
      <w:r>
        <w:br/>
        <w:t>- Minor bleeding or hematoma at injection site: rare (&lt;1%)</w:t>
      </w:r>
      <w:hyperlink r:id="rId22" w:history="1">
        <w:r>
          <w:rPr>
            <w:rStyle w:val="Hyperlink"/>
          </w:rPr>
          <w:t>[3]</w:t>
        </w:r>
      </w:hyperlink>
      <w:hyperlink r:id="rId23" w:history="1">
        <w:r>
          <w:rPr>
            <w:rStyle w:val="Hyperlink"/>
          </w:rPr>
          <w:t>[6]</w:t>
        </w:r>
      </w:hyperlink>
      <w:r>
        <w:br/>
      </w:r>
      <w:r>
        <w:br/>
        <w:t>- Transient sensory symptoms (paresthesia, numbness): 2–5%</w:t>
      </w:r>
      <w:hyperlink r:id="rId24" w:history="1">
        <w:r>
          <w:rPr>
            <w:rStyle w:val="Hyperlink"/>
          </w:rPr>
          <w:t>[1]</w:t>
        </w:r>
      </w:hyperlink>
      <w:hyperlink r:id="rId25" w:history="1">
        <w:r>
          <w:rPr>
            <w:rStyle w:val="Hyperlink"/>
          </w:rPr>
          <w:t>[2]</w:t>
        </w:r>
      </w:hyperlink>
      <w:hyperlink r:id="rId26" w:history="1">
        <w:r>
          <w:rPr>
            <w:rStyle w:val="Hyperlink"/>
          </w:rPr>
          <w:t>[3]</w:t>
        </w:r>
      </w:hyperlink>
      <w:hyperlink r:id="rId27" w:history="1">
        <w:r>
          <w:rPr>
            <w:rStyle w:val="Hyperlink"/>
          </w:rPr>
          <w:t>[7]</w:t>
        </w:r>
      </w:hyperlink>
      <w:hyperlink r:id="rId28" w:history="1">
        <w:r>
          <w:rPr>
            <w:rStyle w:val="Hyperlink"/>
          </w:rPr>
          <w:t>[8]</w:t>
        </w:r>
      </w:hyperlink>
      <w:hyperlink r:id="rId29" w:history="1">
        <w:r>
          <w:rPr>
            <w:rStyle w:val="Hyperlink"/>
          </w:rPr>
          <w:t>[9]</w:t>
        </w:r>
      </w:hyperlink>
      <w:hyperlink r:id="rId30" w:history="1">
        <w:r>
          <w:rPr>
            <w:rStyle w:val="Hyperlink"/>
          </w:rPr>
          <w:t>[4]</w:t>
        </w:r>
      </w:hyperlink>
      <w:hyperlink r:id="rId31" w:history="1">
        <w:r>
          <w:rPr>
            <w:rStyle w:val="Hyperlink"/>
          </w:rPr>
          <w:t>[5]</w:t>
        </w:r>
      </w:hyperlink>
      <w:r>
        <w:br/>
      </w:r>
      <w:r>
        <w:br/>
        <w:t>- Injection site soreness: 5–10%</w:t>
      </w:r>
      <w:hyperlink r:id="rId32" w:history="1">
        <w:r>
          <w:rPr>
            <w:rStyle w:val="Hyperlink"/>
          </w:rPr>
          <w:t>[7]</w:t>
        </w:r>
      </w:hyperlink>
      <w:hyperlink r:id="rId33" w:history="1">
        <w:r>
          <w:rPr>
            <w:rStyle w:val="Hyperlink"/>
          </w:rPr>
          <w:t>[5]</w:t>
        </w:r>
      </w:hyperlink>
      <w:r>
        <w:br/>
      </w:r>
      <w:r>
        <w:br/>
        <w:t>- Transient hoarseness or dysphagia: rare (&lt;1%)</w:t>
      </w:r>
      <w:hyperlink r:id="rId34" w:history="1">
        <w:r>
          <w:rPr>
            <w:rStyle w:val="Hyperlink"/>
          </w:rPr>
          <w:t>[1]</w:t>
        </w:r>
      </w:hyperlink>
      <w:hyperlink r:id="rId35" w:history="1">
        <w:r>
          <w:rPr>
            <w:rStyle w:val="Hyperlink"/>
          </w:rPr>
          <w:t>[3]</w:t>
        </w:r>
      </w:hyperlink>
      <w:hyperlink r:id="rId36" w:history="1">
        <w:r>
          <w:rPr>
            <w:rStyle w:val="Hyperlink"/>
          </w:rPr>
          <w:t>[4]</w:t>
        </w:r>
      </w:hyperlink>
      <w:r>
        <w:br/>
      </w:r>
      <w:r>
        <w:br/>
        <w:t>Most minor adverse events are self-limited and resolve without intervention.</w:t>
      </w:r>
      <w:hyperlink r:id="rId37" w:history="1">
        <w:r>
          <w:rPr>
            <w:rStyle w:val="Hyperlink"/>
          </w:rPr>
          <w:t>[1]</w:t>
        </w:r>
      </w:hyperlink>
      <w:hyperlink r:id="rId38" w:history="1">
        <w:r>
          <w:rPr>
            <w:rStyle w:val="Hyperlink"/>
          </w:rPr>
          <w:t>[2]</w:t>
        </w:r>
      </w:hyperlink>
      <w:hyperlink r:id="rId39" w:history="1">
        <w:r>
          <w:rPr>
            <w:rStyle w:val="Hyperlink"/>
          </w:rPr>
          <w:t>[3]</w:t>
        </w:r>
      </w:hyperlink>
      <w:hyperlink r:id="rId40" w:history="1">
        <w:r>
          <w:rPr>
            <w:rStyle w:val="Hyperlink"/>
          </w:rPr>
          <w:t>[7]</w:t>
        </w:r>
      </w:hyperlink>
      <w:hyperlink r:id="rId41" w:history="1">
        <w:r>
          <w:rPr>
            <w:rStyle w:val="Hyperlink"/>
          </w:rPr>
          <w:t>[4]</w:t>
        </w:r>
      </w:hyperlink>
      <w:hyperlink r:id="rId42" w:history="1">
        <w:r>
          <w:rPr>
            <w:rStyle w:val="Hyperlink"/>
          </w:rPr>
          <w:t>[5]</w:t>
        </w:r>
      </w:hyperlink>
      <w:r>
        <w:br/>
      </w:r>
      <w:r>
        <w:br/>
      </w:r>
      <w:r>
        <w:rPr>
          <w:rStyle w:val="Strong"/>
        </w:rPr>
        <w:t>Serious or Rare Risks:</w:t>
      </w:r>
      <w:r>
        <w:br/>
      </w:r>
      <w:r>
        <w:br/>
        <w:t>- Infection (epidural abscess, meningitis): exceedingly rare</w:t>
      </w:r>
      <w:hyperlink r:id="rId43" w:history="1">
        <w:r>
          <w:rPr>
            <w:rStyle w:val="Hyperlink"/>
          </w:rPr>
          <w:t>[2]</w:t>
        </w:r>
      </w:hyperlink>
      <w:hyperlink r:id="rId44" w:history="1">
        <w:r>
          <w:rPr>
            <w:rStyle w:val="Hyperlink"/>
          </w:rPr>
          <w:t>[3]</w:t>
        </w:r>
      </w:hyperlink>
      <w:hyperlink r:id="rId45" w:history="1">
        <w:r>
          <w:rPr>
            <w:rStyle w:val="Hyperlink"/>
          </w:rPr>
          <w:t>[4]</w:t>
        </w:r>
      </w:hyperlink>
      <w:r>
        <w:br/>
      </w:r>
      <w:r>
        <w:br/>
        <w:t>- Allergic reaction to injectate: rare</w:t>
      </w:r>
      <w:hyperlink r:id="rId46" w:history="1">
        <w:r>
          <w:rPr>
            <w:rStyle w:val="Hyperlink"/>
          </w:rPr>
          <w:t>[2]</w:t>
        </w:r>
      </w:hyperlink>
      <w:hyperlink r:id="rId47" w:history="1">
        <w:r>
          <w:rPr>
            <w:rStyle w:val="Hyperlink"/>
          </w:rPr>
          <w:t>[3]</w:t>
        </w:r>
      </w:hyperlink>
      <w:hyperlink r:id="rId48" w:history="1">
        <w:r>
          <w:rPr>
            <w:rStyle w:val="Hyperlink"/>
          </w:rPr>
          <w:t>[4]</w:t>
        </w:r>
      </w:hyperlink>
      <w:r>
        <w:br/>
      </w:r>
      <w:r>
        <w:br/>
        <w:t xml:space="preserve">- Neurological injury (nerve root irritation, transient or persistent deficit): extremely rare, with no </w:t>
      </w:r>
      <w:r>
        <w:lastRenderedPageBreak/>
        <w:t>permanent deficits reported in large series</w:t>
      </w:r>
      <w:hyperlink r:id="rId49" w:history="1">
        <w:r>
          <w:rPr>
            <w:rStyle w:val="Hyperlink"/>
          </w:rPr>
          <w:t>[1]</w:t>
        </w:r>
      </w:hyperlink>
      <w:hyperlink r:id="rId50" w:history="1">
        <w:r>
          <w:rPr>
            <w:rStyle w:val="Hyperlink"/>
          </w:rPr>
          <w:t>[2]</w:t>
        </w:r>
      </w:hyperlink>
      <w:hyperlink r:id="rId51" w:history="1">
        <w:r>
          <w:rPr>
            <w:rStyle w:val="Hyperlink"/>
          </w:rPr>
          <w:t>[3]</w:t>
        </w:r>
      </w:hyperlink>
      <w:hyperlink r:id="rId52" w:history="1">
        <w:r>
          <w:rPr>
            <w:rStyle w:val="Hyperlink"/>
          </w:rPr>
          <w:t>[8]</w:t>
        </w:r>
      </w:hyperlink>
      <w:hyperlink r:id="rId53" w:history="1">
        <w:r>
          <w:rPr>
            <w:rStyle w:val="Hyperlink"/>
          </w:rPr>
          <w:t>[4]</w:t>
        </w:r>
      </w:hyperlink>
      <w:r>
        <w:br/>
      </w:r>
      <w:r>
        <w:br/>
        <w:t>- Vascular injury or inadvertent intravascular injection: risk varies by technique and cervical level, with rates of inadvertent vascular injection reported from 2% to &gt;10% depending on approach and imaging modality</w:t>
      </w:r>
      <w:hyperlink r:id="rId54" w:history="1">
        <w:r>
          <w:rPr>
            <w:rStyle w:val="Hyperlink"/>
          </w:rPr>
          <w:t>[10]</w:t>
        </w:r>
      </w:hyperlink>
      <w:hyperlink r:id="rId55" w:history="1">
        <w:r>
          <w:rPr>
            <w:rStyle w:val="Hyperlink"/>
          </w:rPr>
          <w:t>[8]</w:t>
        </w:r>
      </w:hyperlink>
      <w:hyperlink r:id="rId56" w:history="1">
        <w:r>
          <w:rPr>
            <w:rStyle w:val="Hyperlink"/>
          </w:rPr>
          <w:t>[9]</w:t>
        </w:r>
      </w:hyperlink>
      <w:hyperlink r:id="rId57" w:history="1">
        <w:r>
          <w:rPr>
            <w:rStyle w:val="Hyperlink"/>
          </w:rPr>
          <w:t>[6]</w:t>
        </w:r>
      </w:hyperlink>
      <w:r>
        <w:br/>
      </w:r>
      <w:r>
        <w:br/>
        <w:t>- Catastrophic complications (stroke, spinal cord infarction, paralysis, death): rare but reported, typically related to inadvertent intra-arterial injection of particulate steroid or vertebral artery trauma</w:t>
      </w:r>
      <w:hyperlink r:id="rId58" w:history="1">
        <w:r>
          <w:rPr>
            <w:rStyle w:val="Hyperlink"/>
          </w:rPr>
          <w:t>[11]</w:t>
        </w:r>
      </w:hyperlink>
      <w:hyperlink r:id="rId59" w:history="1">
        <w:r>
          <w:rPr>
            <w:rStyle w:val="Hyperlink"/>
          </w:rPr>
          <w:t>[6]</w:t>
        </w:r>
      </w:hyperlink>
      <w:hyperlink r:id="rId60" w:history="1">
        <w:r>
          <w:rPr>
            <w:rStyle w:val="Hyperlink"/>
          </w:rPr>
          <w:t>[4]</w:t>
        </w:r>
      </w:hyperlink>
      <w:r>
        <w:br/>
      </w:r>
      <w:r>
        <w:br/>
        <w:t>- Hematoma requiring evacuation: rare (&lt;1%)</w:t>
      </w:r>
      <w:hyperlink r:id="rId61" w:history="1">
        <w:r>
          <w:rPr>
            <w:rStyle w:val="Hyperlink"/>
          </w:rPr>
          <w:t>[3]</w:t>
        </w:r>
      </w:hyperlink>
      <w:hyperlink r:id="rId62" w:history="1">
        <w:r>
          <w:rPr>
            <w:rStyle w:val="Hyperlink"/>
          </w:rPr>
          <w:t>[6]</w:t>
        </w:r>
      </w:hyperlink>
      <w:r>
        <w:br/>
      </w:r>
      <w:r>
        <w:br/>
        <w:t>- Permanent neurological deficit: extremely rare</w:t>
      </w:r>
      <w:hyperlink r:id="rId63" w:history="1">
        <w:r>
          <w:rPr>
            <w:rStyle w:val="Hyperlink"/>
          </w:rPr>
          <w:t>[1]</w:t>
        </w:r>
      </w:hyperlink>
      <w:hyperlink r:id="rId64" w:history="1">
        <w:r>
          <w:rPr>
            <w:rStyle w:val="Hyperlink"/>
          </w:rPr>
          <w:t>[2]</w:t>
        </w:r>
      </w:hyperlink>
      <w:hyperlink r:id="rId65" w:history="1">
        <w:r>
          <w:rPr>
            <w:rStyle w:val="Hyperlink"/>
          </w:rPr>
          <w:t>[3]</w:t>
        </w:r>
      </w:hyperlink>
      <w:hyperlink r:id="rId66" w:history="1">
        <w:r>
          <w:rPr>
            <w:rStyle w:val="Hyperlink"/>
          </w:rPr>
          <w:t>[8]</w:t>
        </w:r>
      </w:hyperlink>
      <w:hyperlink r:id="rId67" w:history="1">
        <w:r>
          <w:rPr>
            <w:rStyle w:val="Hyperlink"/>
          </w:rPr>
          <w:t>[4]</w:t>
        </w:r>
      </w:hyperlink>
      <w:r>
        <w:br/>
      </w:r>
      <w:r>
        <w:br/>
        <w:t>- Urticaria or anaphylaxis: rare</w:t>
      </w:r>
      <w:hyperlink r:id="rId68" w:history="1">
        <w:r>
          <w:rPr>
            <w:rStyle w:val="Hyperlink"/>
          </w:rPr>
          <w:t>[2]</w:t>
        </w:r>
      </w:hyperlink>
      <w:hyperlink r:id="rId69" w:history="1">
        <w:r>
          <w:rPr>
            <w:rStyle w:val="Hyperlink"/>
          </w:rPr>
          <w:t>[3]</w:t>
        </w:r>
      </w:hyperlink>
      <w:hyperlink r:id="rId70" w:history="1">
        <w:r>
          <w:rPr>
            <w:rStyle w:val="Hyperlink"/>
          </w:rPr>
          <w:t>[4]</w:t>
        </w:r>
      </w:hyperlink>
      <w:r>
        <w:br/>
      </w:r>
      <w:r>
        <w:br/>
      </w:r>
      <w:r>
        <w:rPr>
          <w:rStyle w:val="Strong"/>
        </w:rPr>
        <w:t>Risk Factors for Increased Complications:</w:t>
      </w:r>
      <w:r>
        <w:br/>
      </w:r>
      <w:r>
        <w:br/>
        <w:t>- Advanced age, higher BMI, diabetes, tobacco use, coagulopathy, and multilevel injections are associated with higher complication rates and poorer outcomes.</w:t>
      </w:r>
      <w:hyperlink r:id="rId71" w:history="1">
        <w:r>
          <w:rPr>
            <w:rStyle w:val="Hyperlink"/>
          </w:rPr>
          <w:t>[2]</w:t>
        </w:r>
      </w:hyperlink>
      <w:hyperlink r:id="rId72" w:history="1">
        <w:r>
          <w:rPr>
            <w:rStyle w:val="Hyperlink"/>
          </w:rPr>
          <w:t>[3]</w:t>
        </w:r>
      </w:hyperlink>
      <w:hyperlink r:id="rId73" w:history="1">
        <w:r>
          <w:rPr>
            <w:rStyle w:val="Hyperlink"/>
          </w:rPr>
          <w:t>[6]</w:t>
        </w:r>
      </w:hyperlink>
      <w:hyperlink r:id="rId74" w:history="1">
        <w:r>
          <w:rPr>
            <w:rStyle w:val="Hyperlink"/>
          </w:rPr>
          <w:t>[5]</w:t>
        </w:r>
      </w:hyperlink>
      <w:r>
        <w:br/>
      </w:r>
      <w:r>
        <w:br/>
        <w:t>- The risk of vascular injury is higher at C5–C6 and in patients with variant anatomy.</w:t>
      </w:r>
      <w:hyperlink r:id="rId75" w:history="1">
        <w:r>
          <w:rPr>
            <w:rStyle w:val="Hyperlink"/>
          </w:rPr>
          <w:t>[10]</w:t>
        </w:r>
      </w:hyperlink>
      <w:hyperlink r:id="rId76" w:history="1">
        <w:r>
          <w:rPr>
            <w:rStyle w:val="Hyperlink"/>
          </w:rPr>
          <w:t>[8]</w:t>
        </w:r>
      </w:hyperlink>
      <w:hyperlink r:id="rId77" w:history="1">
        <w:r>
          <w:rPr>
            <w:rStyle w:val="Hyperlink"/>
          </w:rPr>
          <w:t>[9]</w:t>
        </w:r>
      </w:hyperlink>
      <w:hyperlink r:id="rId78" w:history="1">
        <w:r>
          <w:rPr>
            <w:rStyle w:val="Hyperlink"/>
          </w:rPr>
          <w:t>[6]</w:t>
        </w:r>
      </w:hyperlink>
      <w:r>
        <w:br/>
      </w:r>
      <w:r>
        <w:br/>
        <w:t>- The use of particulate steroids increases the risk of embolic events; non-particulate steroids will be used.</w:t>
      </w:r>
      <w:hyperlink r:id="rId79" w:history="1">
        <w:r>
          <w:rPr>
            <w:rStyle w:val="Hyperlink"/>
          </w:rPr>
          <w:t>[11]</w:t>
        </w:r>
      </w:hyperlink>
      <w:hyperlink r:id="rId80" w:history="1">
        <w:r>
          <w:rPr>
            <w:rStyle w:val="Hyperlink"/>
          </w:rPr>
          <w:t>[6]</w:t>
        </w:r>
      </w:hyperlink>
      <w:r>
        <w:br/>
      </w:r>
      <w:r>
        <w:br/>
      </w:r>
      <w:r>
        <w:rPr>
          <w:rStyle w:val="Strong"/>
        </w:rPr>
        <w:t>Patient Acknowledgment:</w:t>
      </w:r>
      <w:r>
        <w:t xml:space="preserve"> By signing below, the patient acknowledges understanding of the above risks, their estimated incidence, and the potential for both common and rare complications associated with cervical selective nerve root block. All questions have been answered to the patient's satisfaction.</w:t>
      </w:r>
      <w:r>
        <w:br/>
      </w:r>
      <w:r>
        <w:br/>
        <w:t>Signature: ________________</w:t>
      </w:r>
      <w:r w:rsidR="001738E7">
        <w:t>_</w:t>
      </w:r>
      <w:r w:rsidR="003844C5">
        <w:t>_____</w:t>
      </w:r>
      <w:r w:rsidR="001738E7">
        <w:t>________</w:t>
      </w:r>
      <w:r>
        <w:t>____</w:t>
      </w:r>
      <w:r>
        <w:rPr>
          <w:rStyle w:val="Strong"/>
          <w:i/>
          <w:iCs/>
        </w:rPr>
        <w:t xml:space="preserve"> Date: </w:t>
      </w:r>
      <w:r>
        <w:t>___________</w:t>
      </w:r>
      <w:r>
        <w:br/>
      </w:r>
      <w:r>
        <w:br/>
        <w:t>Patient Name: ___________</w:t>
      </w:r>
      <w:r w:rsidR="003844C5">
        <w:t>____</w:t>
      </w:r>
      <w:r>
        <w:t>_______________</w:t>
      </w:r>
      <w:r>
        <w:rPr>
          <w:rStyle w:val="Strong"/>
          <w:i/>
          <w:iCs/>
        </w:rPr>
        <w:t xml:space="preserve"> DOB:</w:t>
      </w:r>
      <w:r>
        <w:t>__________</w:t>
      </w:r>
    </w:p>
    <w:p w14:paraId="11505A3E" w14:textId="77777777" w:rsidR="006E7181" w:rsidRDefault="006E7181" w:rsidP="006E7181">
      <w:pPr>
        <w:pStyle w:val="Heading3"/>
      </w:pPr>
      <w:r>
        <w:t>References</w:t>
      </w:r>
    </w:p>
    <w:p w14:paraId="52A2AAD4" w14:textId="77777777" w:rsidR="006E7181" w:rsidRDefault="006E7181" w:rsidP="006E7181">
      <w:pPr>
        <w:numPr>
          <w:ilvl w:val="0"/>
          <w:numId w:val="2"/>
        </w:numPr>
        <w:spacing w:before="100" w:beforeAutospacing="1" w:after="100" w:afterAutospacing="1" w:line="240" w:lineRule="auto"/>
      </w:pPr>
      <w:hyperlink r:id="rId81" w:history="1">
        <w:r>
          <w:rPr>
            <w:rStyle w:val="Hyperlink"/>
          </w:rPr>
          <w:t>Counterpoint: Conventional Fluoroscopy-Guided Selective Cervical Nerve Root Block-a Safe, Effective, and Efficient Modality in the Hands of an Experienced Proceduralist</w:t>
        </w:r>
      </w:hyperlink>
      <w:r>
        <w:t xml:space="preserve">. Ott FW, </w:t>
      </w:r>
      <w:proofErr w:type="spellStart"/>
      <w:r>
        <w:t>Pluhm</w:t>
      </w:r>
      <w:proofErr w:type="spellEnd"/>
      <w:r>
        <w:t xml:space="preserve"> R, Ozturk K, McKinney AM, Rykken JB. AJNR. American Journal of Neuroradiology. 2020;41(6):1112-1119. doi:10.3174/</w:t>
      </w:r>
      <w:proofErr w:type="gramStart"/>
      <w:r>
        <w:t>ajnr.A</w:t>
      </w:r>
      <w:proofErr w:type="gramEnd"/>
      <w:r>
        <w:t>6580.</w:t>
      </w:r>
    </w:p>
    <w:p w14:paraId="45806A98" w14:textId="77777777" w:rsidR="006E7181" w:rsidRDefault="006E7181" w:rsidP="006E7181">
      <w:pPr>
        <w:numPr>
          <w:ilvl w:val="0"/>
          <w:numId w:val="2"/>
        </w:numPr>
        <w:spacing w:before="100" w:beforeAutospacing="1" w:after="100" w:afterAutospacing="1" w:line="240" w:lineRule="auto"/>
      </w:pPr>
      <w:hyperlink r:id="rId82" w:history="1">
        <w:r>
          <w:rPr>
            <w:rStyle w:val="Hyperlink"/>
          </w:rPr>
          <w:t>Complications and Side Effects of Cervical and Lumbosacral Selective Nerve Root Injections</w:t>
        </w:r>
      </w:hyperlink>
      <w:r>
        <w:t xml:space="preserve">. Huston CW, </w:t>
      </w:r>
      <w:proofErr w:type="spellStart"/>
      <w:r>
        <w:t>Slipman</w:t>
      </w:r>
      <w:proofErr w:type="spellEnd"/>
      <w:r>
        <w:t xml:space="preserve"> CW, Garvin C. Archives of Physical Medicine and Rehabilitation. 2005;86(2):277-83. </w:t>
      </w:r>
      <w:proofErr w:type="gramStart"/>
      <w:r>
        <w:t>doi:10.1016/j.apmr</w:t>
      </w:r>
      <w:proofErr w:type="gramEnd"/>
      <w:r>
        <w:t>.2004.02.018.</w:t>
      </w:r>
    </w:p>
    <w:p w14:paraId="6A86326A" w14:textId="77777777" w:rsidR="006E7181" w:rsidRDefault="006E7181" w:rsidP="006E7181">
      <w:pPr>
        <w:numPr>
          <w:ilvl w:val="0"/>
          <w:numId w:val="2"/>
        </w:numPr>
        <w:spacing w:before="100" w:beforeAutospacing="1" w:after="100" w:afterAutospacing="1" w:line="240" w:lineRule="auto"/>
      </w:pPr>
      <w:hyperlink r:id="rId83" w:history="1">
        <w:r>
          <w:rPr>
            <w:rStyle w:val="Hyperlink"/>
          </w:rPr>
          <w:t xml:space="preserve">Selective Cervical Nerve Root Blockade: Prospective Study of Immediate and </w:t>
        </w:r>
        <w:proofErr w:type="gramStart"/>
        <w:r>
          <w:rPr>
            <w:rStyle w:val="Hyperlink"/>
          </w:rPr>
          <w:t>Longer Term</w:t>
        </w:r>
        <w:proofErr w:type="gramEnd"/>
        <w:r>
          <w:rPr>
            <w:rStyle w:val="Hyperlink"/>
          </w:rPr>
          <w:t xml:space="preserve"> Complications</w:t>
        </w:r>
      </w:hyperlink>
      <w:r>
        <w:t xml:space="preserve">. </w:t>
      </w:r>
      <w:proofErr w:type="spellStart"/>
      <w:r>
        <w:t>Pobiel</w:t>
      </w:r>
      <w:proofErr w:type="spellEnd"/>
      <w:r>
        <w:t xml:space="preserve"> RS, Schellhas KP, Eklund JA, et al. AJNR. American Journal of Neuroradiology. 2009;30(3):507-11. doi:10.3174/</w:t>
      </w:r>
      <w:proofErr w:type="gramStart"/>
      <w:r>
        <w:t>ajnr.A</w:t>
      </w:r>
      <w:proofErr w:type="gramEnd"/>
      <w:r>
        <w:t>1415.</w:t>
      </w:r>
    </w:p>
    <w:p w14:paraId="39490D9C" w14:textId="77777777" w:rsidR="006E7181" w:rsidRDefault="006E7181" w:rsidP="006E7181">
      <w:pPr>
        <w:numPr>
          <w:ilvl w:val="0"/>
          <w:numId w:val="2"/>
        </w:numPr>
        <w:spacing w:before="100" w:beforeAutospacing="1" w:after="100" w:afterAutospacing="1" w:line="240" w:lineRule="auto"/>
      </w:pPr>
      <w:hyperlink r:id="rId84" w:history="1">
        <w:r>
          <w:rPr>
            <w:rStyle w:val="Hyperlink"/>
          </w:rPr>
          <w:t>Combined Fluoroscopic and Ultrasound Guided Cervical Nerve Root Injections</w:t>
        </w:r>
      </w:hyperlink>
      <w:r>
        <w:t xml:space="preserve">. Wakeling C, Bateman A, Hatrick A, </w:t>
      </w:r>
      <w:proofErr w:type="spellStart"/>
      <w:r>
        <w:t>Chatakondu</w:t>
      </w:r>
      <w:proofErr w:type="spellEnd"/>
      <w:r>
        <w:t xml:space="preserve"> S. International </w:t>
      </w:r>
      <w:proofErr w:type="spellStart"/>
      <w:r>
        <w:t>Orthopaedics</w:t>
      </w:r>
      <w:proofErr w:type="spellEnd"/>
      <w:r>
        <w:t>. 2016;40(12):2547-2551. doi:10.1007/s00264-016-3224-1.</w:t>
      </w:r>
    </w:p>
    <w:p w14:paraId="429BF23D" w14:textId="77777777" w:rsidR="006E7181" w:rsidRDefault="006E7181" w:rsidP="006E7181">
      <w:pPr>
        <w:numPr>
          <w:ilvl w:val="0"/>
          <w:numId w:val="2"/>
        </w:numPr>
        <w:spacing w:before="100" w:beforeAutospacing="1" w:after="100" w:afterAutospacing="1" w:line="240" w:lineRule="auto"/>
      </w:pPr>
      <w:hyperlink r:id="rId85" w:history="1">
        <w:r>
          <w:rPr>
            <w:rStyle w:val="Hyperlink"/>
          </w:rPr>
          <w:t xml:space="preserve">Ultrasound-Guided Nerve </w:t>
        </w:r>
        <w:proofErr w:type="spellStart"/>
        <w:r>
          <w:rPr>
            <w:rStyle w:val="Hyperlink"/>
          </w:rPr>
          <w:t>Hydrodissection</w:t>
        </w:r>
        <w:proofErr w:type="spellEnd"/>
        <w:r>
          <w:rPr>
            <w:rStyle w:val="Hyperlink"/>
          </w:rPr>
          <w:t xml:space="preserve"> of Cervical Nerve Roots for Cervical Radicular Pain in Patients </w:t>
        </w:r>
        <w:proofErr w:type="gramStart"/>
        <w:r>
          <w:rPr>
            <w:rStyle w:val="Hyperlink"/>
          </w:rPr>
          <w:t>With</w:t>
        </w:r>
        <w:proofErr w:type="gramEnd"/>
        <w:r>
          <w:rPr>
            <w:rStyle w:val="Hyperlink"/>
          </w:rPr>
          <w:t xml:space="preserve"> Mild and Moderate to Severe Stenosis: A Retrospective Cohort Study</w:t>
        </w:r>
      </w:hyperlink>
      <w:r>
        <w:t>. Lin CH, Yen YS, Wu CY. Scientific Reports. 2023;13(1):13817. doi:10.1038/s41598-023-40376-2.</w:t>
      </w:r>
    </w:p>
    <w:p w14:paraId="73A8DC75" w14:textId="77777777" w:rsidR="006E7181" w:rsidRDefault="006E7181" w:rsidP="006E7181">
      <w:pPr>
        <w:numPr>
          <w:ilvl w:val="0"/>
          <w:numId w:val="2"/>
        </w:numPr>
        <w:spacing w:before="100" w:beforeAutospacing="1" w:after="100" w:afterAutospacing="1" w:line="240" w:lineRule="auto"/>
      </w:pPr>
      <w:hyperlink r:id="rId86" w:history="1">
        <w:r>
          <w:rPr>
            <w:rStyle w:val="Hyperlink"/>
          </w:rPr>
          <w:t xml:space="preserve">Consensus Practice Guidelines on Interventions for Cervical Spine (Facet) Joint Pain </w:t>
        </w:r>
        <w:proofErr w:type="gramStart"/>
        <w:r>
          <w:rPr>
            <w:rStyle w:val="Hyperlink"/>
          </w:rPr>
          <w:t>From</w:t>
        </w:r>
        <w:proofErr w:type="gramEnd"/>
        <w:r>
          <w:rPr>
            <w:rStyle w:val="Hyperlink"/>
          </w:rPr>
          <w:t xml:space="preserve"> a Multispecialty International Working Group</w:t>
        </w:r>
      </w:hyperlink>
      <w:r>
        <w:t>. Hurley RW, Adams MCB, Barad M, et al. Regional Anesthesia and Pain Medicine. 2022;47(1):3-59. doi:10.1136/rapm-2021-103031.</w:t>
      </w:r>
    </w:p>
    <w:p w14:paraId="301E6D97" w14:textId="77777777" w:rsidR="006E7181" w:rsidRDefault="006E7181" w:rsidP="006E7181">
      <w:pPr>
        <w:numPr>
          <w:ilvl w:val="0"/>
          <w:numId w:val="2"/>
        </w:numPr>
        <w:spacing w:before="100" w:beforeAutospacing="1" w:after="100" w:afterAutospacing="1" w:line="240" w:lineRule="auto"/>
      </w:pPr>
      <w:hyperlink r:id="rId87" w:history="1">
        <w:r>
          <w:rPr>
            <w:rStyle w:val="Hyperlink"/>
          </w:rPr>
          <w:t>Ultrasound-Guided Cervical Retro-Laminar Block for Cervical Radicular Pain: A Comparative Analysis</w:t>
        </w:r>
      </w:hyperlink>
      <w:r>
        <w:t>. Khashan M, de Santiago J, Pardo I, et al. Spine. 2022;47(19):1351-1356. doi:10.1097/BRS.0000000000004397.</w:t>
      </w:r>
    </w:p>
    <w:p w14:paraId="1A5F01B7" w14:textId="77777777" w:rsidR="006E7181" w:rsidRDefault="006E7181" w:rsidP="006E7181">
      <w:pPr>
        <w:numPr>
          <w:ilvl w:val="0"/>
          <w:numId w:val="2"/>
        </w:numPr>
        <w:spacing w:before="100" w:beforeAutospacing="1" w:after="100" w:afterAutospacing="1" w:line="240" w:lineRule="auto"/>
      </w:pPr>
      <w:hyperlink r:id="rId88" w:history="1">
        <w:r>
          <w:rPr>
            <w:rStyle w:val="Hyperlink"/>
          </w:rPr>
          <w:t>Cervical Nerve Root Block Using a Curved Blunt Needle and Posterior Approach</w:t>
        </w:r>
      </w:hyperlink>
      <w:r>
        <w:t xml:space="preserve">. Noe C, van Hal M, Helm </w:t>
      </w:r>
      <w:proofErr w:type="spellStart"/>
      <w:r>
        <w:t>Ii</w:t>
      </w:r>
      <w:proofErr w:type="spellEnd"/>
      <w:r>
        <w:t xml:space="preserve"> S, Racz GB. Pain Physician. 2024;27(3):161-168.</w:t>
      </w:r>
    </w:p>
    <w:p w14:paraId="49D18460" w14:textId="77777777" w:rsidR="006E7181" w:rsidRDefault="006E7181" w:rsidP="006E7181">
      <w:pPr>
        <w:numPr>
          <w:ilvl w:val="0"/>
          <w:numId w:val="2"/>
        </w:numPr>
        <w:spacing w:before="100" w:beforeAutospacing="1" w:after="100" w:afterAutospacing="1" w:line="240" w:lineRule="auto"/>
      </w:pPr>
      <w:hyperlink r:id="rId89" w:history="1">
        <w:r>
          <w:rPr>
            <w:rStyle w:val="Hyperlink"/>
          </w:rPr>
          <w:t>Ultrasound-Guided Selective Nerve Root Block Versus Fluoroscopy-Guided Interlaminar Epidural Block Versus Fluoroscopy-Guided Transforaminal Epidural Block for the Treatment of Radicular Pain in the Lower Cervical Spine: A Retrospective Comparative Study</w:t>
        </w:r>
      </w:hyperlink>
      <w:r>
        <w:t xml:space="preserve">. Jang JH, Lee WY, Kim JW, et al. Pain Research &amp; Management. </w:t>
      </w:r>
      <w:proofErr w:type="gramStart"/>
      <w:r>
        <w:t>2020;2020:9103421</w:t>
      </w:r>
      <w:proofErr w:type="gramEnd"/>
      <w:r>
        <w:t>. doi:10.1155/2020/9103421.</w:t>
      </w:r>
    </w:p>
    <w:p w14:paraId="05D027E0" w14:textId="77777777" w:rsidR="006E7181" w:rsidRDefault="006E7181" w:rsidP="006E7181">
      <w:pPr>
        <w:numPr>
          <w:ilvl w:val="0"/>
          <w:numId w:val="2"/>
        </w:numPr>
        <w:spacing w:before="100" w:beforeAutospacing="1" w:after="100" w:afterAutospacing="1" w:line="240" w:lineRule="auto"/>
      </w:pPr>
      <w:hyperlink r:id="rId90" w:history="1">
        <w:r>
          <w:rPr>
            <w:rStyle w:val="Hyperlink"/>
          </w:rPr>
          <w:t>An Open-Label Non-Inferiority Randomized Trail Comparing the Effectiveness and Safety of Ultrasound-Guided Selective Cervical Nerve Root Block and Fluoroscopy-Guided Cervical Transforaminal Epidural Block for Cervical Radiculopathy</w:t>
        </w:r>
      </w:hyperlink>
      <w:r>
        <w:t>. Cui X, Zhang D, Zhao Y, et al. Annals of Medicine. 2022;54(1):2681-2691. doi:10.1080/07853890.2022.2124445.</w:t>
      </w:r>
    </w:p>
    <w:p w14:paraId="1D967D6A" w14:textId="77777777" w:rsidR="006E7181" w:rsidRDefault="006E7181" w:rsidP="006E7181">
      <w:pPr>
        <w:numPr>
          <w:ilvl w:val="0"/>
          <w:numId w:val="2"/>
        </w:numPr>
        <w:spacing w:before="100" w:beforeAutospacing="1" w:after="100" w:afterAutospacing="1" w:line="240" w:lineRule="auto"/>
      </w:pPr>
      <w:hyperlink r:id="rId91" w:history="1">
        <w:r>
          <w:rPr>
            <w:rStyle w:val="Hyperlink"/>
          </w:rPr>
          <w:t>Safety of Local Anesthetics in Cervical Nerve Root Injections: A Narrative Review</w:t>
        </w:r>
      </w:hyperlink>
      <w:r>
        <w:t>. Stewart ZE. Skeletal Radiology. 2023;52(10):1893-1900. doi:10.1007/s00256-022-04220-4.</w:t>
      </w:r>
    </w:p>
    <w:p w14:paraId="4BFCAB41" w14:textId="77777777" w:rsidR="00560473" w:rsidRDefault="00560473">
      <w:pPr>
        <w:rPr>
          <w:rFonts w:ascii="Times New Roman" w:eastAsia="Times New Roman" w:hAnsi="Times New Roman" w:cs="Times New Roman"/>
          <w:color w:val="0E0E0E"/>
          <w:sz w:val="24"/>
          <w:szCs w:val="24"/>
        </w:rPr>
      </w:pPr>
    </w:p>
    <w:sectPr w:rsidR="00560473">
      <w:headerReference w:type="default" r:id="rId92"/>
      <w:footerReference w:type="default" r:id="rId93"/>
      <w:headerReference w:type="first" r:id="rId94"/>
      <w:footerReference w:type="first" r:id="rId9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14E8" w14:textId="77777777" w:rsidR="008E0F21" w:rsidRDefault="008E0F21">
      <w:pPr>
        <w:spacing w:line="240" w:lineRule="auto"/>
      </w:pPr>
      <w:r>
        <w:separator/>
      </w:r>
    </w:p>
  </w:endnote>
  <w:endnote w:type="continuationSeparator" w:id="0">
    <w:p w14:paraId="4C77179A" w14:textId="77777777" w:rsidR="008E0F21" w:rsidRDefault="008E0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38F2" w14:textId="25007E55" w:rsidR="00560473" w:rsidRDefault="00000000">
    <w:pPr>
      <w:jc w:val="right"/>
    </w:pPr>
    <w:r>
      <w:fldChar w:fldCharType="begin"/>
    </w:r>
    <w:r>
      <w:instrText>PAGE</w:instrText>
    </w:r>
    <w:r>
      <w:fldChar w:fldCharType="separate"/>
    </w:r>
    <w:r w:rsidR="00564D0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8EB2" w14:textId="77777777" w:rsidR="00560473" w:rsidRDefault="00000000">
    <w:pPr>
      <w:jc w:val="right"/>
    </w:pPr>
    <w:r>
      <w:fldChar w:fldCharType="begin"/>
    </w:r>
    <w:r>
      <w:instrText>PAGE</w:instrText>
    </w:r>
    <w:r>
      <w:fldChar w:fldCharType="separate"/>
    </w:r>
    <w:r w:rsidR="00564D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1F812" w14:textId="77777777" w:rsidR="008E0F21" w:rsidRDefault="008E0F21">
      <w:pPr>
        <w:spacing w:line="240" w:lineRule="auto"/>
      </w:pPr>
      <w:r>
        <w:separator/>
      </w:r>
    </w:p>
  </w:footnote>
  <w:footnote w:type="continuationSeparator" w:id="0">
    <w:p w14:paraId="6E681945" w14:textId="77777777" w:rsidR="008E0F21" w:rsidRDefault="008E0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30F1" w14:textId="77777777" w:rsidR="00560473" w:rsidRDefault="005604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FE78" w14:textId="77777777" w:rsidR="00560473" w:rsidRDefault="00000000">
    <w:r>
      <w:rPr>
        <w:noProof/>
      </w:rPr>
      <w:drawing>
        <wp:anchor distT="114300" distB="114300" distL="114300" distR="114300" simplePos="0" relativeHeight="251658240" behindDoc="1" locked="0" layoutInCell="1" hidden="0" allowOverlap="1" wp14:anchorId="05AA7241" wp14:editId="76EDE713">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FC6BE56" wp14:editId="2680BB71">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5720"/>
    <w:multiLevelType w:val="hybridMultilevel"/>
    <w:tmpl w:val="4D869D4A"/>
    <w:lvl w:ilvl="0" w:tplc="85EAC2C8">
      <w:start w:val="1"/>
      <w:numFmt w:val="decimal"/>
      <w:lvlText w:val="%1."/>
      <w:lvlJc w:val="left"/>
      <w:pPr>
        <w:spacing w:before="0" w:after="0"/>
        <w:ind w:left="720" w:hanging="360"/>
      </w:pPr>
    </w:lvl>
    <w:lvl w:ilvl="1" w:tplc="F90ABE0E">
      <w:numFmt w:val="decimal"/>
      <w:lvlText w:val=""/>
      <w:lvlJc w:val="left"/>
    </w:lvl>
    <w:lvl w:ilvl="2" w:tplc="A942C272">
      <w:numFmt w:val="decimal"/>
      <w:lvlText w:val=""/>
      <w:lvlJc w:val="left"/>
    </w:lvl>
    <w:lvl w:ilvl="3" w:tplc="31D291EE">
      <w:numFmt w:val="decimal"/>
      <w:lvlText w:val=""/>
      <w:lvlJc w:val="left"/>
    </w:lvl>
    <w:lvl w:ilvl="4" w:tplc="E474CEF2">
      <w:numFmt w:val="decimal"/>
      <w:lvlText w:val=""/>
      <w:lvlJc w:val="left"/>
    </w:lvl>
    <w:lvl w:ilvl="5" w:tplc="A620B570">
      <w:numFmt w:val="decimal"/>
      <w:lvlText w:val=""/>
      <w:lvlJc w:val="left"/>
    </w:lvl>
    <w:lvl w:ilvl="6" w:tplc="2B863CBA">
      <w:numFmt w:val="decimal"/>
      <w:lvlText w:val=""/>
      <w:lvlJc w:val="left"/>
    </w:lvl>
    <w:lvl w:ilvl="7" w:tplc="300A3F40">
      <w:numFmt w:val="decimal"/>
      <w:lvlText w:val=""/>
      <w:lvlJc w:val="left"/>
    </w:lvl>
    <w:lvl w:ilvl="8" w:tplc="0330B9E4">
      <w:numFmt w:val="decimal"/>
      <w:lvlText w:val=""/>
      <w:lvlJc w:val="left"/>
    </w:lvl>
  </w:abstractNum>
  <w:abstractNum w:abstractNumId="1" w15:restartNumberingAfterBreak="0">
    <w:nsid w:val="63575B2D"/>
    <w:multiLevelType w:val="multilevel"/>
    <w:tmpl w:val="34D2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035333">
    <w:abstractNumId w:val="0"/>
    <w:lvlOverride w:ilvl="0">
      <w:startOverride w:val="1"/>
    </w:lvlOverride>
  </w:num>
  <w:num w:numId="2" w16cid:durableId="127902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73"/>
    <w:rsid w:val="000F58FD"/>
    <w:rsid w:val="001738E7"/>
    <w:rsid w:val="00205309"/>
    <w:rsid w:val="00356050"/>
    <w:rsid w:val="003844C5"/>
    <w:rsid w:val="00560473"/>
    <w:rsid w:val="00564D00"/>
    <w:rsid w:val="006E7181"/>
    <w:rsid w:val="007E05C5"/>
    <w:rsid w:val="00893916"/>
    <w:rsid w:val="008E0F21"/>
    <w:rsid w:val="00900F6D"/>
    <w:rsid w:val="00BD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884"/>
  <w15:docId w15:val="{2A550B9A-C5DF-B748-8CB0-1425721F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4D00"/>
    <w:rPr>
      <w:color w:val="0000FF" w:themeColor="hyperlink"/>
      <w:u w:val="single"/>
    </w:rPr>
  </w:style>
  <w:style w:type="character" w:styleId="UnresolvedMention">
    <w:name w:val="Unresolved Mention"/>
    <w:basedOn w:val="DefaultParagraphFont"/>
    <w:uiPriority w:val="99"/>
    <w:semiHidden/>
    <w:unhideWhenUsed/>
    <w:rsid w:val="00564D00"/>
    <w:rPr>
      <w:color w:val="605E5C"/>
      <w:shd w:val="clear" w:color="auto" w:fill="E1DFDD"/>
    </w:rPr>
  </w:style>
  <w:style w:type="paragraph" w:styleId="Footer">
    <w:name w:val="footer"/>
    <w:basedOn w:val="Normal"/>
    <w:link w:val="FooterChar"/>
    <w:uiPriority w:val="99"/>
    <w:unhideWhenUsed/>
    <w:rsid w:val="00564D00"/>
    <w:pPr>
      <w:tabs>
        <w:tab w:val="center" w:pos="4680"/>
        <w:tab w:val="right" w:pos="9360"/>
      </w:tabs>
      <w:spacing w:line="240" w:lineRule="auto"/>
    </w:pPr>
  </w:style>
  <w:style w:type="character" w:customStyle="1" w:styleId="FooterChar">
    <w:name w:val="Footer Char"/>
    <w:basedOn w:val="DefaultParagraphFont"/>
    <w:link w:val="Footer"/>
    <w:uiPriority w:val="99"/>
    <w:rsid w:val="00564D00"/>
  </w:style>
  <w:style w:type="character" w:styleId="PageNumber">
    <w:name w:val="page number"/>
    <w:basedOn w:val="DefaultParagraphFont"/>
    <w:uiPriority w:val="99"/>
    <w:semiHidden/>
    <w:unhideWhenUsed/>
    <w:rsid w:val="00564D00"/>
  </w:style>
  <w:style w:type="paragraph" w:styleId="Header">
    <w:name w:val="header"/>
    <w:basedOn w:val="Normal"/>
    <w:link w:val="HeaderChar"/>
    <w:uiPriority w:val="99"/>
    <w:unhideWhenUsed/>
    <w:rsid w:val="00564D00"/>
    <w:pPr>
      <w:tabs>
        <w:tab w:val="center" w:pos="4680"/>
        <w:tab w:val="right" w:pos="9360"/>
      </w:tabs>
      <w:spacing w:line="240" w:lineRule="auto"/>
    </w:pPr>
  </w:style>
  <w:style w:type="character" w:customStyle="1" w:styleId="HeaderChar">
    <w:name w:val="Header Char"/>
    <w:basedOn w:val="DefaultParagraphFont"/>
    <w:link w:val="Header"/>
    <w:uiPriority w:val="99"/>
    <w:rsid w:val="00564D00"/>
  </w:style>
  <w:style w:type="character" w:styleId="Strong">
    <w:name w:val="Strong"/>
    <w:basedOn w:val="DefaultParagraphFont"/>
    <w:uiPriority w:val="22"/>
    <w:qFormat/>
    <w:rsid w:val="006E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ubmed.ncbi.nlm.nih.gov/19193762" TargetMode="External"/><Relationship Id="rId21" Type="http://schemas.openxmlformats.org/officeDocument/2006/relationships/hyperlink" Target="https://pubmed.ncbi.nlm.nih.gov/37620404" TargetMode="External"/><Relationship Id="rId42" Type="http://schemas.openxmlformats.org/officeDocument/2006/relationships/hyperlink" Target="https://pubmed.ncbi.nlm.nih.gov/37620404" TargetMode="External"/><Relationship Id="rId47" Type="http://schemas.openxmlformats.org/officeDocument/2006/relationships/hyperlink" Target="https://pubmed.ncbi.nlm.nih.gov/19193762" TargetMode="External"/><Relationship Id="rId63" Type="http://schemas.openxmlformats.org/officeDocument/2006/relationships/hyperlink" Target="https://pubmed.ncbi.nlm.nih.gov/32522840" TargetMode="External"/><Relationship Id="rId68" Type="http://schemas.openxmlformats.org/officeDocument/2006/relationships/hyperlink" Target="https://pubmed.ncbi.nlm.nih.gov/15706554" TargetMode="External"/><Relationship Id="rId84" Type="http://schemas.openxmlformats.org/officeDocument/2006/relationships/hyperlink" Target="https://pubmed.ncbi.nlm.nih.gov/27222157" TargetMode="External"/><Relationship Id="rId89" Type="http://schemas.openxmlformats.org/officeDocument/2006/relationships/hyperlink" Target="https://pubmed.ncbi.nlm.nih.gov/32617125" TargetMode="External"/><Relationship Id="rId16" Type="http://schemas.openxmlformats.org/officeDocument/2006/relationships/hyperlink" Target="https://pubmed.ncbi.nlm.nih.gov/37620404" TargetMode="External"/><Relationship Id="rId11" Type="http://schemas.openxmlformats.org/officeDocument/2006/relationships/hyperlink" Target="https://pubmed.ncbi.nlm.nih.gov/37620404" TargetMode="External"/><Relationship Id="rId32" Type="http://schemas.openxmlformats.org/officeDocument/2006/relationships/hyperlink" Target="https://pubmed.ncbi.nlm.nih.gov/35793529" TargetMode="External"/><Relationship Id="rId37" Type="http://schemas.openxmlformats.org/officeDocument/2006/relationships/hyperlink" Target="https://pubmed.ncbi.nlm.nih.gov/32522840" TargetMode="External"/><Relationship Id="rId53" Type="http://schemas.openxmlformats.org/officeDocument/2006/relationships/hyperlink" Target="https://pubmed.ncbi.nlm.nih.gov/27222157" TargetMode="External"/><Relationship Id="rId58" Type="http://schemas.openxmlformats.org/officeDocument/2006/relationships/hyperlink" Target="https://pubmed.ncbi.nlm.nih.gov/36326881" TargetMode="External"/><Relationship Id="rId74" Type="http://schemas.openxmlformats.org/officeDocument/2006/relationships/hyperlink" Target="https://pubmed.ncbi.nlm.nih.gov/37620404" TargetMode="External"/><Relationship Id="rId79" Type="http://schemas.openxmlformats.org/officeDocument/2006/relationships/hyperlink" Target="https://pubmed.ncbi.nlm.nih.gov/36326881" TargetMode="External"/><Relationship Id="rId5" Type="http://schemas.openxmlformats.org/officeDocument/2006/relationships/footnotes" Target="footnotes.xml"/><Relationship Id="rId90" Type="http://schemas.openxmlformats.org/officeDocument/2006/relationships/hyperlink" Target="https://pubmed.ncbi.nlm.nih.gov/36164681" TargetMode="External"/><Relationship Id="rId95" Type="http://schemas.openxmlformats.org/officeDocument/2006/relationships/footer" Target="footer2.xml"/><Relationship Id="rId22" Type="http://schemas.openxmlformats.org/officeDocument/2006/relationships/hyperlink" Target="https://pubmed.ncbi.nlm.nih.gov/19193762" TargetMode="External"/><Relationship Id="rId27" Type="http://schemas.openxmlformats.org/officeDocument/2006/relationships/hyperlink" Target="https://pubmed.ncbi.nlm.nih.gov/35793529" TargetMode="External"/><Relationship Id="rId43" Type="http://schemas.openxmlformats.org/officeDocument/2006/relationships/hyperlink" Target="https://pubmed.ncbi.nlm.nih.gov/15706554" TargetMode="External"/><Relationship Id="rId48" Type="http://schemas.openxmlformats.org/officeDocument/2006/relationships/hyperlink" Target="https://pubmed.ncbi.nlm.nih.gov/27222157" TargetMode="External"/><Relationship Id="rId64" Type="http://schemas.openxmlformats.org/officeDocument/2006/relationships/hyperlink" Target="https://pubmed.ncbi.nlm.nih.gov/15706554" TargetMode="External"/><Relationship Id="rId69" Type="http://schemas.openxmlformats.org/officeDocument/2006/relationships/hyperlink" Target="https://pubmed.ncbi.nlm.nih.gov/19193762" TargetMode="External"/><Relationship Id="rId80" Type="http://schemas.openxmlformats.org/officeDocument/2006/relationships/hyperlink" Target="https://www.ncbi.nlm.nih.gov/pmc/articles/PMC8639967/" TargetMode="External"/><Relationship Id="rId85" Type="http://schemas.openxmlformats.org/officeDocument/2006/relationships/hyperlink" Target="https://pubmed.ncbi.nlm.nih.gov/37620404" TargetMode="External"/><Relationship Id="rId3" Type="http://schemas.openxmlformats.org/officeDocument/2006/relationships/settings" Target="settings.xml"/><Relationship Id="rId12" Type="http://schemas.openxmlformats.org/officeDocument/2006/relationships/hyperlink" Target="https://pubmed.ncbi.nlm.nih.gov/15706554" TargetMode="External"/><Relationship Id="rId17" Type="http://schemas.openxmlformats.org/officeDocument/2006/relationships/hyperlink" Target="https://pubmed.ncbi.nlm.nih.gov/15706554" TargetMode="External"/><Relationship Id="rId25" Type="http://schemas.openxmlformats.org/officeDocument/2006/relationships/hyperlink" Target="https://pubmed.ncbi.nlm.nih.gov/15706554" TargetMode="External"/><Relationship Id="rId33" Type="http://schemas.openxmlformats.org/officeDocument/2006/relationships/hyperlink" Target="https://pubmed.ncbi.nlm.nih.gov/37620404" TargetMode="External"/><Relationship Id="rId38" Type="http://schemas.openxmlformats.org/officeDocument/2006/relationships/hyperlink" Target="https://pubmed.ncbi.nlm.nih.gov/15706554" TargetMode="External"/><Relationship Id="rId46" Type="http://schemas.openxmlformats.org/officeDocument/2006/relationships/hyperlink" Target="https://pubmed.ncbi.nlm.nih.gov/15706554" TargetMode="External"/><Relationship Id="rId59" Type="http://schemas.openxmlformats.org/officeDocument/2006/relationships/hyperlink" Target="https://www.ncbi.nlm.nih.gov/pmc/articles/PMC8639967/" TargetMode="External"/><Relationship Id="rId67" Type="http://schemas.openxmlformats.org/officeDocument/2006/relationships/hyperlink" Target="https://pubmed.ncbi.nlm.nih.gov/27222157" TargetMode="External"/><Relationship Id="rId20" Type="http://schemas.openxmlformats.org/officeDocument/2006/relationships/hyperlink" Target="https://pubmed.ncbi.nlm.nih.gov/15706554" TargetMode="External"/><Relationship Id="rId41" Type="http://schemas.openxmlformats.org/officeDocument/2006/relationships/hyperlink" Target="https://pubmed.ncbi.nlm.nih.gov/27222157" TargetMode="External"/><Relationship Id="rId54" Type="http://schemas.openxmlformats.org/officeDocument/2006/relationships/hyperlink" Target="https://pubmed.ncbi.nlm.nih.gov/36164681" TargetMode="External"/><Relationship Id="rId62" Type="http://schemas.openxmlformats.org/officeDocument/2006/relationships/hyperlink" Target="https://www.ncbi.nlm.nih.gov/pmc/articles/PMC8639967/" TargetMode="External"/><Relationship Id="rId70" Type="http://schemas.openxmlformats.org/officeDocument/2006/relationships/hyperlink" Target="https://pubmed.ncbi.nlm.nih.gov/27222157" TargetMode="External"/><Relationship Id="rId75" Type="http://schemas.openxmlformats.org/officeDocument/2006/relationships/hyperlink" Target="https://pubmed.ncbi.nlm.nih.gov/36164681" TargetMode="External"/><Relationship Id="rId83" Type="http://schemas.openxmlformats.org/officeDocument/2006/relationships/hyperlink" Target="https://pubmed.ncbi.nlm.nih.gov/19193762" TargetMode="External"/><Relationship Id="rId88" Type="http://schemas.openxmlformats.org/officeDocument/2006/relationships/hyperlink" Target="https://pubmed.ncbi.nlm.nih.gov/38506683" TargetMode="External"/><Relationship Id="rId91" Type="http://schemas.openxmlformats.org/officeDocument/2006/relationships/hyperlink" Target="https://pubmed.ncbi.nlm.nih.gov/3632688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19193762" TargetMode="External"/><Relationship Id="rId23" Type="http://schemas.openxmlformats.org/officeDocument/2006/relationships/hyperlink" Target="https://www.ncbi.nlm.nih.gov/pmc/articles/PMC8639967/" TargetMode="External"/><Relationship Id="rId28" Type="http://schemas.openxmlformats.org/officeDocument/2006/relationships/hyperlink" Target="https://pubmed.ncbi.nlm.nih.gov/38506683" TargetMode="External"/><Relationship Id="rId36" Type="http://schemas.openxmlformats.org/officeDocument/2006/relationships/hyperlink" Target="https://pubmed.ncbi.nlm.nih.gov/27222157" TargetMode="External"/><Relationship Id="rId49" Type="http://schemas.openxmlformats.org/officeDocument/2006/relationships/hyperlink" Target="https://pubmed.ncbi.nlm.nih.gov/32522840" TargetMode="External"/><Relationship Id="rId57" Type="http://schemas.openxmlformats.org/officeDocument/2006/relationships/hyperlink" Target="https://www.ncbi.nlm.nih.gov/pmc/articles/PMC8639967/" TargetMode="External"/><Relationship Id="rId10" Type="http://schemas.openxmlformats.org/officeDocument/2006/relationships/hyperlink" Target="https://pubmed.ncbi.nlm.nih.gov/27222157" TargetMode="External"/><Relationship Id="rId31" Type="http://schemas.openxmlformats.org/officeDocument/2006/relationships/hyperlink" Target="https://pubmed.ncbi.nlm.nih.gov/37620404" TargetMode="External"/><Relationship Id="rId44" Type="http://schemas.openxmlformats.org/officeDocument/2006/relationships/hyperlink" Target="https://pubmed.ncbi.nlm.nih.gov/19193762" TargetMode="External"/><Relationship Id="rId52" Type="http://schemas.openxmlformats.org/officeDocument/2006/relationships/hyperlink" Target="https://pubmed.ncbi.nlm.nih.gov/38506683" TargetMode="External"/><Relationship Id="rId60" Type="http://schemas.openxmlformats.org/officeDocument/2006/relationships/hyperlink" Target="https://pubmed.ncbi.nlm.nih.gov/27222157" TargetMode="External"/><Relationship Id="rId65" Type="http://schemas.openxmlformats.org/officeDocument/2006/relationships/hyperlink" Target="https://pubmed.ncbi.nlm.nih.gov/19193762" TargetMode="External"/><Relationship Id="rId73" Type="http://schemas.openxmlformats.org/officeDocument/2006/relationships/hyperlink" Target="https://www.ncbi.nlm.nih.gov/pmc/articles/PMC8639967/" TargetMode="External"/><Relationship Id="rId78" Type="http://schemas.openxmlformats.org/officeDocument/2006/relationships/hyperlink" Target="https://www.ncbi.nlm.nih.gov/pmc/articles/PMC8639967/" TargetMode="External"/><Relationship Id="rId81" Type="http://schemas.openxmlformats.org/officeDocument/2006/relationships/hyperlink" Target="https://pubmed.ncbi.nlm.nih.gov/32522840" TargetMode="External"/><Relationship Id="rId86" Type="http://schemas.openxmlformats.org/officeDocument/2006/relationships/hyperlink" Target="https://www.ncbi.nlm.nih.gov/pmc/articles/PMC8639967/" TargetMode="External"/><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ubmed.ncbi.nlm.nih.gov/19193762" TargetMode="External"/><Relationship Id="rId13" Type="http://schemas.openxmlformats.org/officeDocument/2006/relationships/hyperlink" Target="https://pubmed.ncbi.nlm.nih.gov/15706554" TargetMode="External"/><Relationship Id="rId18" Type="http://schemas.openxmlformats.org/officeDocument/2006/relationships/hyperlink" Target="https://pubmed.ncbi.nlm.nih.gov/19193762" TargetMode="External"/><Relationship Id="rId39" Type="http://schemas.openxmlformats.org/officeDocument/2006/relationships/hyperlink" Target="https://pubmed.ncbi.nlm.nih.gov/19193762" TargetMode="External"/><Relationship Id="rId34" Type="http://schemas.openxmlformats.org/officeDocument/2006/relationships/hyperlink" Target="https://pubmed.ncbi.nlm.nih.gov/32522840" TargetMode="External"/><Relationship Id="rId50" Type="http://schemas.openxmlformats.org/officeDocument/2006/relationships/hyperlink" Target="https://pubmed.ncbi.nlm.nih.gov/15706554" TargetMode="External"/><Relationship Id="rId55" Type="http://schemas.openxmlformats.org/officeDocument/2006/relationships/hyperlink" Target="https://pubmed.ncbi.nlm.nih.gov/38506683" TargetMode="External"/><Relationship Id="rId76" Type="http://schemas.openxmlformats.org/officeDocument/2006/relationships/hyperlink" Target="https://pubmed.ncbi.nlm.nih.gov/38506683" TargetMode="External"/><Relationship Id="rId97" Type="http://schemas.openxmlformats.org/officeDocument/2006/relationships/theme" Target="theme/theme1.xml"/><Relationship Id="rId7" Type="http://schemas.openxmlformats.org/officeDocument/2006/relationships/hyperlink" Target="https://pubmed.ncbi.nlm.nih.gov/32522840" TargetMode="External"/><Relationship Id="rId71" Type="http://schemas.openxmlformats.org/officeDocument/2006/relationships/hyperlink" Target="https://pubmed.ncbi.nlm.nih.gov/15706554"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pubmed.ncbi.nlm.nih.gov/32617125" TargetMode="External"/><Relationship Id="rId24" Type="http://schemas.openxmlformats.org/officeDocument/2006/relationships/hyperlink" Target="https://pubmed.ncbi.nlm.nih.gov/32522840" TargetMode="External"/><Relationship Id="rId40" Type="http://schemas.openxmlformats.org/officeDocument/2006/relationships/hyperlink" Target="https://pubmed.ncbi.nlm.nih.gov/35793529" TargetMode="External"/><Relationship Id="rId45" Type="http://schemas.openxmlformats.org/officeDocument/2006/relationships/hyperlink" Target="https://pubmed.ncbi.nlm.nih.gov/27222157" TargetMode="External"/><Relationship Id="rId66" Type="http://schemas.openxmlformats.org/officeDocument/2006/relationships/hyperlink" Target="https://pubmed.ncbi.nlm.nih.gov/38506683" TargetMode="External"/><Relationship Id="rId87" Type="http://schemas.openxmlformats.org/officeDocument/2006/relationships/hyperlink" Target="https://pubmed.ncbi.nlm.nih.gov/35793529" TargetMode="External"/><Relationship Id="rId61" Type="http://schemas.openxmlformats.org/officeDocument/2006/relationships/hyperlink" Target="https://pubmed.ncbi.nlm.nih.gov/19193762" TargetMode="External"/><Relationship Id="rId82" Type="http://schemas.openxmlformats.org/officeDocument/2006/relationships/hyperlink" Target="https://pubmed.ncbi.nlm.nih.gov/15706554" TargetMode="External"/><Relationship Id="rId19" Type="http://schemas.openxmlformats.org/officeDocument/2006/relationships/hyperlink" Target="https://pubmed.ncbi.nlm.nih.gov/15706554" TargetMode="External"/><Relationship Id="rId14" Type="http://schemas.openxmlformats.org/officeDocument/2006/relationships/hyperlink" Target="https://pubmed.ncbi.nlm.nih.gov/15706554" TargetMode="External"/><Relationship Id="rId30" Type="http://schemas.openxmlformats.org/officeDocument/2006/relationships/hyperlink" Target="https://pubmed.ncbi.nlm.nih.gov/27222157" TargetMode="External"/><Relationship Id="rId35" Type="http://schemas.openxmlformats.org/officeDocument/2006/relationships/hyperlink" Target="https://pubmed.ncbi.nlm.nih.gov/19193762" TargetMode="External"/><Relationship Id="rId56" Type="http://schemas.openxmlformats.org/officeDocument/2006/relationships/hyperlink" Target="https://pubmed.ncbi.nlm.nih.gov/32617125" TargetMode="External"/><Relationship Id="rId77" Type="http://schemas.openxmlformats.org/officeDocument/2006/relationships/hyperlink" Target="https://pubmed.ncbi.nlm.nih.gov/32617125" TargetMode="External"/><Relationship Id="rId8" Type="http://schemas.openxmlformats.org/officeDocument/2006/relationships/hyperlink" Target="https://pubmed.ncbi.nlm.nih.gov/15706554" TargetMode="External"/><Relationship Id="rId51" Type="http://schemas.openxmlformats.org/officeDocument/2006/relationships/hyperlink" Target="https://pubmed.ncbi.nlm.nih.gov/19193762" TargetMode="External"/><Relationship Id="rId72" Type="http://schemas.openxmlformats.org/officeDocument/2006/relationships/hyperlink" Target="https://pubmed.ncbi.nlm.nih.gov/19193762" TargetMode="External"/><Relationship Id="rId93"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Meyers, DO</cp:lastModifiedBy>
  <cp:revision>3</cp:revision>
  <dcterms:created xsi:type="dcterms:W3CDTF">2025-08-19T09:28:00Z</dcterms:created>
  <dcterms:modified xsi:type="dcterms:W3CDTF">2025-08-19T09:37:00Z</dcterms:modified>
</cp:coreProperties>
</file>