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35626" w14:textId="77777777" w:rsidR="004B2DDE" w:rsidRDefault="00000000">
      <w:pPr>
        <w:pStyle w:val="Heading1"/>
        <w:keepNext w:val="0"/>
        <w:keepLines w:val="0"/>
        <w:spacing w:before="0" w:after="0" w:line="240" w:lineRule="auto"/>
        <w:jc w:val="center"/>
        <w:rPr>
          <w:rFonts w:ascii="Times New Roman" w:eastAsia="Times New Roman" w:hAnsi="Times New Roman" w:cs="Times New Roman"/>
          <w:b/>
          <w:color w:val="0E0E0E"/>
          <w:sz w:val="32"/>
          <w:szCs w:val="32"/>
        </w:rPr>
      </w:pPr>
      <w:bookmarkStart w:id="0" w:name="_b3jc0459lkbd" w:colFirst="0" w:colLast="0"/>
      <w:bookmarkEnd w:id="0"/>
      <w:r>
        <w:rPr>
          <w:rFonts w:ascii="Times New Roman" w:eastAsia="Times New Roman" w:hAnsi="Times New Roman" w:cs="Times New Roman"/>
          <w:b/>
          <w:color w:val="0E0E0E"/>
          <w:sz w:val="32"/>
          <w:szCs w:val="32"/>
        </w:rPr>
        <w:t>Anterior Lumbar Interbody Fusion</w:t>
      </w:r>
    </w:p>
    <w:p w14:paraId="13FCD5A3" w14:textId="77777777" w:rsidR="004B2DDE" w:rsidRDefault="00000000">
      <w:pPr>
        <w:pStyle w:val="Heading1"/>
        <w:keepNext w:val="0"/>
        <w:keepLines w:val="0"/>
        <w:spacing w:before="0" w:after="0" w:line="240" w:lineRule="auto"/>
        <w:jc w:val="center"/>
        <w:rPr>
          <w:rFonts w:ascii="Times New Roman" w:eastAsia="Times New Roman" w:hAnsi="Times New Roman" w:cs="Times New Roman"/>
          <w:b/>
          <w:color w:val="0E0E0E"/>
          <w:sz w:val="32"/>
          <w:szCs w:val="32"/>
        </w:rPr>
      </w:pPr>
      <w:bookmarkStart w:id="1" w:name="_zeqnusye3k3" w:colFirst="0" w:colLast="0"/>
      <w:bookmarkEnd w:id="1"/>
      <w:r>
        <w:rPr>
          <w:rFonts w:ascii="Times New Roman" w:eastAsia="Times New Roman" w:hAnsi="Times New Roman" w:cs="Times New Roman"/>
          <w:b/>
          <w:color w:val="0E0E0E"/>
          <w:sz w:val="32"/>
          <w:szCs w:val="32"/>
        </w:rPr>
        <w:t>CONSENT</w:t>
      </w:r>
    </w:p>
    <w:p w14:paraId="659C7BFE" w14:textId="77777777" w:rsidR="004B2DDE" w:rsidRDefault="004B2DDE"/>
    <w:p w14:paraId="3F4DBECD" w14:textId="77777777" w:rsidR="004B2DDE" w:rsidRDefault="00000000">
      <w:pPr>
        <w:spacing w:after="200" w:line="301" w:lineRule="auto"/>
        <w:rPr>
          <w:rFonts w:ascii="Times New Roman" w:eastAsia="Times New Roman" w:hAnsi="Times New Roman" w:cs="Times New Roman"/>
          <w:color w:val="0E0E0E"/>
          <w:sz w:val="24"/>
          <w:szCs w:val="24"/>
        </w:rPr>
      </w:pPr>
      <w:r>
        <w:rPr>
          <w:rFonts w:ascii="Times New Roman" w:eastAsia="Times New Roman" w:hAnsi="Times New Roman" w:cs="Times New Roman"/>
          <w:color w:val="0E0E0E"/>
          <w:sz w:val="24"/>
          <w:szCs w:val="24"/>
        </w:rPr>
        <w:t xml:space="preserve">This document outlines the risks and potential complication rates associated with </w:t>
      </w:r>
      <w:r>
        <w:rPr>
          <w:rFonts w:ascii="Times New Roman" w:eastAsia="Times New Roman" w:hAnsi="Times New Roman" w:cs="Times New Roman"/>
          <w:b/>
          <w:color w:val="0E0E0E"/>
          <w:sz w:val="24"/>
          <w:szCs w:val="24"/>
        </w:rPr>
        <w:t>anterior lumbar interbody fusion (ALIF) with posterior pedicle screw fixation</w:t>
      </w:r>
      <w:r>
        <w:rPr>
          <w:rFonts w:ascii="Times New Roman" w:eastAsia="Times New Roman" w:hAnsi="Times New Roman" w:cs="Times New Roman"/>
          <w:color w:val="0E0E0E"/>
          <w:sz w:val="24"/>
          <w:szCs w:val="24"/>
        </w:rPr>
        <w:t>. The following information is based on recent evidence from multicenter studies, systematic reviews, and national registry data.</w:t>
      </w:r>
    </w:p>
    <w:p w14:paraId="249D9E28" w14:textId="77777777" w:rsidR="004B2DDE" w:rsidRDefault="00000000">
      <w:pPr>
        <w:spacing w:after="200" w:line="301" w:lineRule="auto"/>
        <w:rPr>
          <w:rFonts w:ascii="Times New Roman" w:eastAsia="Times New Roman" w:hAnsi="Times New Roman" w:cs="Times New Roman"/>
          <w:b/>
          <w:color w:val="0E0E0E"/>
          <w:sz w:val="24"/>
          <w:szCs w:val="24"/>
        </w:rPr>
      </w:pPr>
      <w:r>
        <w:rPr>
          <w:rFonts w:ascii="Times New Roman" w:eastAsia="Times New Roman" w:hAnsi="Times New Roman" w:cs="Times New Roman"/>
          <w:b/>
          <w:color w:val="0E0E0E"/>
          <w:sz w:val="24"/>
          <w:szCs w:val="24"/>
        </w:rPr>
        <w:t>Common Risks and Estimated Incidence:</w:t>
      </w:r>
    </w:p>
    <w:p w14:paraId="4DC93CA5"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Any complication:</w:t>
      </w:r>
      <w:r>
        <w:rPr>
          <w:rFonts w:ascii="Times New Roman" w:eastAsia="Times New Roman" w:hAnsi="Times New Roman" w:cs="Times New Roman"/>
          <w:color w:val="0E0E0E"/>
          <w:sz w:val="24"/>
          <w:szCs w:val="24"/>
        </w:rPr>
        <w:t xml:space="preserve"> 10–26% (includes both minor and major </w:t>
      </w:r>
      <w:proofErr w:type="gramStart"/>
      <w:r>
        <w:rPr>
          <w:rFonts w:ascii="Times New Roman" w:eastAsia="Times New Roman" w:hAnsi="Times New Roman" w:cs="Times New Roman"/>
          <w:color w:val="0E0E0E"/>
          <w:sz w:val="24"/>
          <w:szCs w:val="24"/>
        </w:rPr>
        <w:t>complications)</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1][2][3]</w:t>
      </w:r>
    </w:p>
    <w:p w14:paraId="3C287729"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Vascular injury:</w:t>
      </w:r>
      <w:r>
        <w:rPr>
          <w:rFonts w:ascii="Times New Roman" w:eastAsia="Times New Roman" w:hAnsi="Times New Roman" w:cs="Times New Roman"/>
          <w:color w:val="0E0E0E"/>
          <w:sz w:val="24"/>
          <w:szCs w:val="24"/>
        </w:rPr>
        <w:t xml:space="preserve"> 3% (major vessel injury, including iliac vein/</w:t>
      </w:r>
      <w:proofErr w:type="gramStart"/>
      <w:r>
        <w:rPr>
          <w:rFonts w:ascii="Times New Roman" w:eastAsia="Times New Roman" w:hAnsi="Times New Roman" w:cs="Times New Roman"/>
          <w:color w:val="0E0E0E"/>
          <w:sz w:val="24"/>
          <w:szCs w:val="24"/>
        </w:rPr>
        <w:t>artery)</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1][2][3]</w:t>
      </w:r>
    </w:p>
    <w:p w14:paraId="777024FA"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Visceral injury (bowel, ureter):</w:t>
      </w:r>
      <w:r>
        <w:rPr>
          <w:rFonts w:ascii="Times New Roman" w:eastAsia="Times New Roman" w:hAnsi="Times New Roman" w:cs="Times New Roman"/>
          <w:color w:val="0E0E0E"/>
          <w:sz w:val="24"/>
          <w:szCs w:val="24"/>
        </w:rPr>
        <w:t xml:space="preserve"> 0.3–0.6</w:t>
      </w:r>
      <w:proofErr w:type="gramStart"/>
      <w:r>
        <w:rPr>
          <w:rFonts w:ascii="Times New Roman" w:eastAsia="Times New Roman" w:hAnsi="Times New Roman" w:cs="Times New Roman"/>
          <w:color w:val="0E0E0E"/>
          <w:sz w:val="24"/>
          <w:szCs w:val="24"/>
        </w:rPr>
        <w:t>%</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2][3]</w:t>
      </w:r>
    </w:p>
    <w:p w14:paraId="244776CB"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Neurological complications:</w:t>
      </w:r>
      <w:r>
        <w:rPr>
          <w:rFonts w:ascii="Times New Roman" w:eastAsia="Times New Roman" w:hAnsi="Times New Roman" w:cs="Times New Roman"/>
          <w:color w:val="0E0E0E"/>
          <w:sz w:val="24"/>
          <w:szCs w:val="24"/>
        </w:rPr>
        <w:t xml:space="preserve"> 4.1% (includes nerve root injury, cauda equina syndrome, or new/worsened </w:t>
      </w:r>
      <w:proofErr w:type="gramStart"/>
      <w:r>
        <w:rPr>
          <w:rFonts w:ascii="Times New Roman" w:eastAsia="Times New Roman" w:hAnsi="Times New Roman" w:cs="Times New Roman"/>
          <w:color w:val="0E0E0E"/>
          <w:sz w:val="24"/>
          <w:szCs w:val="24"/>
        </w:rPr>
        <w:t>deficit)</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2]</w:t>
      </w:r>
    </w:p>
    <w:p w14:paraId="64A519D8"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Retrograde ejaculation (males):</w:t>
      </w:r>
      <w:r>
        <w:rPr>
          <w:rFonts w:ascii="Times New Roman" w:eastAsia="Times New Roman" w:hAnsi="Times New Roman" w:cs="Times New Roman"/>
          <w:color w:val="0E0E0E"/>
          <w:sz w:val="24"/>
          <w:szCs w:val="24"/>
        </w:rPr>
        <w:t xml:space="preserve"> 0.4–2.7% (higher at L5/S1, especially with anterior </w:t>
      </w:r>
      <w:proofErr w:type="gramStart"/>
      <w:r>
        <w:rPr>
          <w:rFonts w:ascii="Times New Roman" w:eastAsia="Times New Roman" w:hAnsi="Times New Roman" w:cs="Times New Roman"/>
          <w:color w:val="0E0E0E"/>
          <w:sz w:val="24"/>
          <w:szCs w:val="24"/>
        </w:rPr>
        <w:t>approach)</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3]</w:t>
      </w:r>
    </w:p>
    <w:p w14:paraId="2CDD53FA"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Deep vein thrombosis (DVT)/pulmonary embolism (PE):</w:t>
      </w:r>
      <w:r>
        <w:rPr>
          <w:rFonts w:ascii="Times New Roman" w:eastAsia="Times New Roman" w:hAnsi="Times New Roman" w:cs="Times New Roman"/>
          <w:color w:val="0E0E0E"/>
          <w:sz w:val="24"/>
          <w:szCs w:val="24"/>
        </w:rPr>
        <w:t xml:space="preserve"> 0.65</w:t>
      </w:r>
      <w:proofErr w:type="gramStart"/>
      <w:r>
        <w:rPr>
          <w:rFonts w:ascii="Times New Roman" w:eastAsia="Times New Roman" w:hAnsi="Times New Roman" w:cs="Times New Roman"/>
          <w:color w:val="0E0E0E"/>
          <w:sz w:val="24"/>
          <w:szCs w:val="24"/>
        </w:rPr>
        <w:t>%</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4]</w:t>
      </w:r>
    </w:p>
    <w:p w14:paraId="41EB75DC"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Postoperative ileus:</w:t>
      </w:r>
      <w:r>
        <w:rPr>
          <w:rFonts w:ascii="Times New Roman" w:eastAsia="Times New Roman" w:hAnsi="Times New Roman" w:cs="Times New Roman"/>
          <w:color w:val="0E0E0E"/>
          <w:sz w:val="24"/>
          <w:szCs w:val="24"/>
        </w:rPr>
        <w:t xml:space="preserve"> 4.9</w:t>
      </w:r>
      <w:proofErr w:type="gramStart"/>
      <w:r>
        <w:rPr>
          <w:rFonts w:ascii="Times New Roman" w:eastAsia="Times New Roman" w:hAnsi="Times New Roman" w:cs="Times New Roman"/>
          <w:color w:val="0E0E0E"/>
          <w:sz w:val="24"/>
          <w:szCs w:val="24"/>
        </w:rPr>
        <w:t>%</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4][5]</w:t>
      </w:r>
    </w:p>
    <w:p w14:paraId="0115632D"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Surgical site infection (superficial/deep):</w:t>
      </w:r>
      <w:r>
        <w:rPr>
          <w:rFonts w:ascii="Times New Roman" w:eastAsia="Times New Roman" w:hAnsi="Times New Roman" w:cs="Times New Roman"/>
          <w:color w:val="0E0E0E"/>
          <w:sz w:val="24"/>
          <w:szCs w:val="24"/>
        </w:rPr>
        <w:t xml:space="preserve"> 1.4–5.8</w:t>
      </w:r>
      <w:proofErr w:type="gramStart"/>
      <w:r>
        <w:rPr>
          <w:rFonts w:ascii="Times New Roman" w:eastAsia="Times New Roman" w:hAnsi="Times New Roman" w:cs="Times New Roman"/>
          <w:color w:val="0E0E0E"/>
          <w:sz w:val="24"/>
          <w:szCs w:val="24"/>
        </w:rPr>
        <w:t>%</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2][3]</w:t>
      </w:r>
    </w:p>
    <w:p w14:paraId="2C8A5831"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Urinary tract infection:</w:t>
      </w:r>
      <w:r>
        <w:rPr>
          <w:rFonts w:ascii="Times New Roman" w:eastAsia="Times New Roman" w:hAnsi="Times New Roman" w:cs="Times New Roman"/>
          <w:color w:val="0E0E0E"/>
          <w:sz w:val="24"/>
          <w:szCs w:val="24"/>
        </w:rPr>
        <w:t xml:space="preserve"> 3.3</w:t>
      </w:r>
      <w:proofErr w:type="gramStart"/>
      <w:r>
        <w:rPr>
          <w:rFonts w:ascii="Times New Roman" w:eastAsia="Times New Roman" w:hAnsi="Times New Roman" w:cs="Times New Roman"/>
          <w:color w:val="0E0E0E"/>
          <w:sz w:val="24"/>
          <w:szCs w:val="24"/>
        </w:rPr>
        <w:t>%</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2]</w:t>
      </w:r>
    </w:p>
    <w:p w14:paraId="52661509"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Pseudoarthrosis (nonunion):</w:t>
      </w:r>
      <w:r>
        <w:rPr>
          <w:rFonts w:ascii="Times New Roman" w:eastAsia="Times New Roman" w:hAnsi="Times New Roman" w:cs="Times New Roman"/>
          <w:color w:val="0E0E0E"/>
          <w:sz w:val="24"/>
          <w:szCs w:val="24"/>
        </w:rPr>
        <w:t xml:space="preserve"> 0.5% at 5 years with posterior fixation; higher </w:t>
      </w:r>
      <w:proofErr w:type="gramStart"/>
      <w:r>
        <w:rPr>
          <w:rFonts w:ascii="Times New Roman" w:eastAsia="Times New Roman" w:hAnsi="Times New Roman" w:cs="Times New Roman"/>
          <w:color w:val="0E0E0E"/>
          <w:sz w:val="24"/>
          <w:szCs w:val="24"/>
        </w:rPr>
        <w:t>without</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1][6]</w:t>
      </w:r>
    </w:p>
    <w:p w14:paraId="3141D951"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Reoperation (within 5 years):</w:t>
      </w:r>
      <w:r>
        <w:rPr>
          <w:rFonts w:ascii="Times New Roman" w:eastAsia="Times New Roman" w:hAnsi="Times New Roman" w:cs="Times New Roman"/>
          <w:color w:val="0E0E0E"/>
          <w:sz w:val="24"/>
          <w:szCs w:val="24"/>
        </w:rPr>
        <w:t xml:space="preserve"> 0.5% for nonunion, 6.2% for adjacent segment </w:t>
      </w:r>
      <w:proofErr w:type="gramStart"/>
      <w:r>
        <w:rPr>
          <w:rFonts w:ascii="Times New Roman" w:eastAsia="Times New Roman" w:hAnsi="Times New Roman" w:cs="Times New Roman"/>
          <w:color w:val="0E0E0E"/>
          <w:sz w:val="24"/>
          <w:szCs w:val="24"/>
        </w:rPr>
        <w:t>disease</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1]</w:t>
      </w:r>
    </w:p>
    <w:p w14:paraId="463ACEE5"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Readmission (within 30–90 days):</w:t>
      </w:r>
      <w:r>
        <w:rPr>
          <w:rFonts w:ascii="Times New Roman" w:eastAsia="Times New Roman" w:hAnsi="Times New Roman" w:cs="Times New Roman"/>
          <w:color w:val="0E0E0E"/>
          <w:sz w:val="24"/>
          <w:szCs w:val="24"/>
        </w:rPr>
        <w:t xml:space="preserve"> 4–7</w:t>
      </w:r>
      <w:proofErr w:type="gramStart"/>
      <w:r>
        <w:rPr>
          <w:rFonts w:ascii="Times New Roman" w:eastAsia="Times New Roman" w:hAnsi="Times New Roman" w:cs="Times New Roman"/>
          <w:color w:val="0E0E0E"/>
          <w:sz w:val="24"/>
          <w:szCs w:val="24"/>
        </w:rPr>
        <w:t>%</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5][7]</w:t>
      </w:r>
    </w:p>
    <w:p w14:paraId="591FF232" w14:textId="77777777" w:rsidR="004B2DDE" w:rsidRDefault="00000000">
      <w:pPr>
        <w:spacing w:after="200" w:line="301" w:lineRule="auto"/>
        <w:rPr>
          <w:rFonts w:ascii="Times New Roman" w:eastAsia="Times New Roman" w:hAnsi="Times New Roman" w:cs="Times New Roman"/>
          <w:b/>
          <w:color w:val="0E0E0E"/>
          <w:sz w:val="24"/>
          <w:szCs w:val="24"/>
        </w:rPr>
      </w:pPr>
      <w:r>
        <w:rPr>
          <w:rFonts w:ascii="Times New Roman" w:eastAsia="Times New Roman" w:hAnsi="Times New Roman" w:cs="Times New Roman"/>
          <w:b/>
          <w:color w:val="0E0E0E"/>
          <w:sz w:val="24"/>
          <w:szCs w:val="24"/>
        </w:rPr>
        <w:t>Serious or Rare Risks:</w:t>
      </w:r>
    </w:p>
    <w:p w14:paraId="399B3B2F"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Gastrointestinal complications (including bowel injury, ileus, or obstruction):</w:t>
      </w:r>
      <w:r>
        <w:rPr>
          <w:rFonts w:ascii="Times New Roman" w:eastAsia="Times New Roman" w:hAnsi="Times New Roman" w:cs="Times New Roman"/>
          <w:color w:val="0E0E0E"/>
          <w:sz w:val="24"/>
          <w:szCs w:val="24"/>
        </w:rPr>
        <w:t xml:space="preserve"> 4.9</w:t>
      </w:r>
      <w:proofErr w:type="gramStart"/>
      <w:r>
        <w:rPr>
          <w:rFonts w:ascii="Times New Roman" w:eastAsia="Times New Roman" w:hAnsi="Times New Roman" w:cs="Times New Roman"/>
          <w:color w:val="0E0E0E"/>
          <w:sz w:val="24"/>
          <w:szCs w:val="24"/>
        </w:rPr>
        <w:t>%</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4]</w:t>
      </w:r>
    </w:p>
    <w:p w14:paraId="133A5DCF"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Mortality:</w:t>
      </w:r>
      <w:r>
        <w:rPr>
          <w:rFonts w:ascii="Times New Roman" w:eastAsia="Times New Roman" w:hAnsi="Times New Roman" w:cs="Times New Roman"/>
          <w:color w:val="0E0E0E"/>
          <w:sz w:val="24"/>
          <w:szCs w:val="24"/>
        </w:rPr>
        <w:t xml:space="preserve"> 0.21</w:t>
      </w:r>
      <w:proofErr w:type="gramStart"/>
      <w:r>
        <w:rPr>
          <w:rFonts w:ascii="Times New Roman" w:eastAsia="Times New Roman" w:hAnsi="Times New Roman" w:cs="Times New Roman"/>
          <w:color w:val="0E0E0E"/>
          <w:sz w:val="24"/>
          <w:szCs w:val="24"/>
        </w:rPr>
        <w:t>%</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4][6]</w:t>
      </w:r>
    </w:p>
    <w:p w14:paraId="412D789C"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Myocardial infarction:</w:t>
      </w:r>
      <w:r>
        <w:rPr>
          <w:rFonts w:ascii="Times New Roman" w:eastAsia="Times New Roman" w:hAnsi="Times New Roman" w:cs="Times New Roman"/>
          <w:color w:val="0E0E0E"/>
          <w:sz w:val="24"/>
          <w:szCs w:val="24"/>
        </w:rPr>
        <w:t xml:space="preserve"> 0.4</w:t>
      </w:r>
      <w:proofErr w:type="gramStart"/>
      <w:r>
        <w:rPr>
          <w:rFonts w:ascii="Times New Roman" w:eastAsia="Times New Roman" w:hAnsi="Times New Roman" w:cs="Times New Roman"/>
          <w:color w:val="0E0E0E"/>
          <w:sz w:val="24"/>
          <w:szCs w:val="24"/>
        </w:rPr>
        <w:t>%</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2]</w:t>
      </w:r>
    </w:p>
    <w:p w14:paraId="0878CB2C"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Stroke:</w:t>
      </w:r>
      <w:r>
        <w:rPr>
          <w:rFonts w:ascii="Times New Roman" w:eastAsia="Times New Roman" w:hAnsi="Times New Roman" w:cs="Times New Roman"/>
          <w:color w:val="0E0E0E"/>
          <w:sz w:val="24"/>
          <w:szCs w:val="24"/>
        </w:rPr>
        <w:t xml:space="preserve"> 0.2</w:t>
      </w:r>
      <w:proofErr w:type="gramStart"/>
      <w:r>
        <w:rPr>
          <w:rFonts w:ascii="Times New Roman" w:eastAsia="Times New Roman" w:hAnsi="Times New Roman" w:cs="Times New Roman"/>
          <w:color w:val="0E0E0E"/>
          <w:sz w:val="24"/>
          <w:szCs w:val="24"/>
        </w:rPr>
        <w:t>%</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2]</w:t>
      </w:r>
    </w:p>
    <w:p w14:paraId="1D1709F0"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lastRenderedPageBreak/>
        <w:t xml:space="preserve">- </w:t>
      </w:r>
      <w:r>
        <w:rPr>
          <w:rFonts w:ascii="Times New Roman" w:eastAsia="Times New Roman" w:hAnsi="Times New Roman" w:cs="Times New Roman"/>
          <w:b/>
          <w:color w:val="0E0E0E"/>
          <w:sz w:val="24"/>
          <w:szCs w:val="24"/>
        </w:rPr>
        <w:t>Sepsis:</w:t>
      </w:r>
      <w:r>
        <w:rPr>
          <w:rFonts w:ascii="Times New Roman" w:eastAsia="Times New Roman" w:hAnsi="Times New Roman" w:cs="Times New Roman"/>
          <w:color w:val="0E0E0E"/>
          <w:sz w:val="24"/>
          <w:szCs w:val="24"/>
        </w:rPr>
        <w:t xml:space="preserve"> 1.1</w:t>
      </w:r>
      <w:proofErr w:type="gramStart"/>
      <w:r>
        <w:rPr>
          <w:rFonts w:ascii="Times New Roman" w:eastAsia="Times New Roman" w:hAnsi="Times New Roman" w:cs="Times New Roman"/>
          <w:color w:val="0E0E0E"/>
          <w:sz w:val="24"/>
          <w:szCs w:val="24"/>
        </w:rPr>
        <w:t>%</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5]</w:t>
      </w:r>
    </w:p>
    <w:p w14:paraId="17E50372"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Incisional hernia:</w:t>
      </w:r>
      <w:r>
        <w:rPr>
          <w:rFonts w:ascii="Times New Roman" w:eastAsia="Times New Roman" w:hAnsi="Times New Roman" w:cs="Times New Roman"/>
          <w:color w:val="0E0E0E"/>
          <w:sz w:val="24"/>
          <w:szCs w:val="24"/>
        </w:rPr>
        <w:t xml:space="preserve"> 0.6</w:t>
      </w:r>
      <w:proofErr w:type="gramStart"/>
      <w:r>
        <w:rPr>
          <w:rFonts w:ascii="Times New Roman" w:eastAsia="Times New Roman" w:hAnsi="Times New Roman" w:cs="Times New Roman"/>
          <w:color w:val="0E0E0E"/>
          <w:sz w:val="24"/>
          <w:szCs w:val="24"/>
        </w:rPr>
        <w:t>%</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2]</w:t>
      </w:r>
    </w:p>
    <w:p w14:paraId="47C1FC4A"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Hematoma/seroma requiring evacuation:</w:t>
      </w:r>
      <w:r>
        <w:rPr>
          <w:rFonts w:ascii="Times New Roman" w:eastAsia="Times New Roman" w:hAnsi="Times New Roman" w:cs="Times New Roman"/>
          <w:color w:val="0E0E0E"/>
          <w:sz w:val="24"/>
          <w:szCs w:val="24"/>
        </w:rPr>
        <w:t xml:space="preserve"> 1.4</w:t>
      </w:r>
      <w:proofErr w:type="gramStart"/>
      <w:r>
        <w:rPr>
          <w:rFonts w:ascii="Times New Roman" w:eastAsia="Times New Roman" w:hAnsi="Times New Roman" w:cs="Times New Roman"/>
          <w:color w:val="0E0E0E"/>
          <w:sz w:val="24"/>
          <w:szCs w:val="24"/>
        </w:rPr>
        <w:t>%</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2]</w:t>
      </w:r>
    </w:p>
    <w:p w14:paraId="77F86E7B" w14:textId="77777777" w:rsidR="004B2DDE" w:rsidRDefault="00000000">
      <w:pPr>
        <w:spacing w:after="200" w:line="301" w:lineRule="auto"/>
        <w:rPr>
          <w:rFonts w:ascii="Times New Roman" w:eastAsia="Times New Roman" w:hAnsi="Times New Roman" w:cs="Times New Roman"/>
          <w:b/>
          <w:color w:val="0E0E0E"/>
          <w:sz w:val="24"/>
          <w:szCs w:val="24"/>
        </w:rPr>
      </w:pPr>
      <w:r>
        <w:rPr>
          <w:rFonts w:ascii="Times New Roman" w:eastAsia="Times New Roman" w:hAnsi="Times New Roman" w:cs="Times New Roman"/>
          <w:b/>
          <w:color w:val="0E0E0E"/>
          <w:sz w:val="24"/>
          <w:szCs w:val="24"/>
        </w:rPr>
        <w:t>Risk Factors for Increased Complications:</w:t>
      </w:r>
    </w:p>
    <w:p w14:paraId="10B36F74"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Advanced age, higher BMI, higher ASA status, diabetes, tobacco use, and osteoporosis are associated with higher complication rates and poorer outcomes.</w:t>
      </w:r>
      <w:r>
        <w:rPr>
          <w:rFonts w:ascii="Times New Roman" w:eastAsia="Times New Roman" w:hAnsi="Times New Roman" w:cs="Times New Roman"/>
          <w:color w:val="0000FF"/>
          <w:sz w:val="24"/>
          <w:szCs w:val="24"/>
        </w:rPr>
        <w:t>[2][6]</w:t>
      </w:r>
    </w:p>
    <w:p w14:paraId="4EC777E7"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The risk of vascular injury is higher at the L4-L5 level and in revision cases.</w:t>
      </w:r>
      <w:r>
        <w:rPr>
          <w:rFonts w:ascii="Times New Roman" w:eastAsia="Times New Roman" w:hAnsi="Times New Roman" w:cs="Times New Roman"/>
          <w:color w:val="0000FF"/>
          <w:sz w:val="24"/>
          <w:szCs w:val="24"/>
        </w:rPr>
        <w:t>[3]</w:t>
      </w:r>
    </w:p>
    <w:p w14:paraId="554FACB0" w14:textId="77777777" w:rsidR="004B2DDE"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The addition of posterior instrumentation reduces the risk of nonunion but may increase operative time and adjacent segment disease.</w:t>
      </w:r>
      <w:r>
        <w:rPr>
          <w:rFonts w:ascii="Times New Roman" w:eastAsia="Times New Roman" w:hAnsi="Times New Roman" w:cs="Times New Roman"/>
          <w:color w:val="0000FF"/>
          <w:sz w:val="24"/>
          <w:szCs w:val="24"/>
        </w:rPr>
        <w:t>[1][8]</w:t>
      </w:r>
    </w:p>
    <w:p w14:paraId="0FA6132E" w14:textId="77777777" w:rsidR="004B2DDE" w:rsidRDefault="00000000">
      <w:pPr>
        <w:spacing w:after="200" w:line="301" w:lineRule="auto"/>
        <w:rPr>
          <w:rFonts w:ascii="Times New Roman" w:eastAsia="Times New Roman" w:hAnsi="Times New Roman" w:cs="Times New Roman"/>
          <w:color w:val="0E0E0E"/>
          <w:sz w:val="24"/>
          <w:szCs w:val="24"/>
        </w:rPr>
      </w:pPr>
      <w:r>
        <w:rPr>
          <w:rFonts w:ascii="Times New Roman" w:eastAsia="Times New Roman" w:hAnsi="Times New Roman" w:cs="Times New Roman"/>
          <w:b/>
          <w:color w:val="0E0E0E"/>
          <w:sz w:val="24"/>
          <w:szCs w:val="24"/>
        </w:rPr>
        <w:t xml:space="preserve">Patient Acknowledgment: </w:t>
      </w:r>
      <w:r>
        <w:rPr>
          <w:rFonts w:ascii="Times New Roman" w:eastAsia="Times New Roman" w:hAnsi="Times New Roman" w:cs="Times New Roman"/>
          <w:color w:val="0E0E0E"/>
          <w:sz w:val="24"/>
          <w:szCs w:val="24"/>
        </w:rPr>
        <w:t>By signing below, the patient acknowledges understanding of the above risks, their estimated incidence, and the potential for both common and rare complications associated with anterior lumbar interbody fusion with posterior pedicle screw fixation. All questions have been answered to the patient's satisfaction.</w:t>
      </w:r>
    </w:p>
    <w:p w14:paraId="713A7AC4" w14:textId="7C6F128D" w:rsidR="004B2DDE" w:rsidRDefault="00000000">
      <w:pPr>
        <w:spacing w:after="200" w:line="301" w:lineRule="auto"/>
        <w:rPr>
          <w:rFonts w:ascii="Times New Roman" w:eastAsia="Times New Roman" w:hAnsi="Times New Roman" w:cs="Times New Roman"/>
          <w:b/>
          <w:color w:val="0E0E0E"/>
          <w:sz w:val="24"/>
          <w:szCs w:val="24"/>
        </w:rPr>
      </w:pPr>
      <w:r>
        <w:rPr>
          <w:rFonts w:ascii="Times New Roman" w:eastAsia="Times New Roman" w:hAnsi="Times New Roman" w:cs="Times New Roman"/>
          <w:b/>
          <w:color w:val="0E0E0E"/>
          <w:sz w:val="24"/>
          <w:szCs w:val="24"/>
        </w:rPr>
        <w:t>Signature: _____________</w:t>
      </w:r>
      <w:r w:rsidR="000C1711">
        <w:rPr>
          <w:rFonts w:ascii="Times New Roman" w:eastAsia="Times New Roman" w:hAnsi="Times New Roman" w:cs="Times New Roman"/>
          <w:b/>
          <w:color w:val="0E0E0E"/>
          <w:sz w:val="24"/>
          <w:szCs w:val="24"/>
        </w:rPr>
        <w:t>________</w:t>
      </w:r>
      <w:r>
        <w:rPr>
          <w:rFonts w:ascii="Times New Roman" w:eastAsia="Times New Roman" w:hAnsi="Times New Roman" w:cs="Times New Roman"/>
          <w:b/>
          <w:color w:val="0E0E0E"/>
          <w:sz w:val="24"/>
          <w:szCs w:val="24"/>
        </w:rPr>
        <w:t>__________   Date: _________</w:t>
      </w:r>
    </w:p>
    <w:p w14:paraId="6B84A4BD" w14:textId="77777777" w:rsidR="004B2DDE" w:rsidRDefault="00000000">
      <w:pPr>
        <w:spacing w:after="200" w:line="301" w:lineRule="auto"/>
        <w:rPr>
          <w:rFonts w:ascii="Times New Roman" w:eastAsia="Times New Roman" w:hAnsi="Times New Roman" w:cs="Times New Roman"/>
          <w:b/>
          <w:color w:val="0E0E0E"/>
          <w:sz w:val="24"/>
          <w:szCs w:val="24"/>
        </w:rPr>
      </w:pPr>
      <w:r>
        <w:rPr>
          <w:rFonts w:ascii="Times New Roman" w:eastAsia="Times New Roman" w:hAnsi="Times New Roman" w:cs="Times New Roman"/>
          <w:b/>
          <w:sz w:val="24"/>
          <w:szCs w:val="24"/>
        </w:rPr>
        <w:t>Patient Name: ____________________________</w:t>
      </w:r>
      <w:proofErr w:type="gramStart"/>
      <w:r>
        <w:rPr>
          <w:rFonts w:ascii="Times New Roman" w:eastAsia="Times New Roman" w:hAnsi="Times New Roman" w:cs="Times New Roman"/>
          <w:b/>
          <w:sz w:val="24"/>
          <w:szCs w:val="24"/>
        </w:rPr>
        <w:t>_  DOB</w:t>
      </w:r>
      <w:proofErr w:type="gramEnd"/>
      <w:r>
        <w:rPr>
          <w:rFonts w:ascii="Times New Roman" w:eastAsia="Times New Roman" w:hAnsi="Times New Roman" w:cs="Times New Roman"/>
          <w:b/>
          <w:sz w:val="24"/>
          <w:szCs w:val="24"/>
        </w:rPr>
        <w:t>:_________</w:t>
      </w:r>
    </w:p>
    <w:p w14:paraId="0202B4A1" w14:textId="77777777" w:rsidR="000C1711" w:rsidRDefault="000C1711">
      <w:pPr>
        <w:pStyle w:val="Heading1"/>
        <w:keepNext w:val="0"/>
        <w:keepLines w:val="0"/>
        <w:spacing w:before="480" w:after="280" w:line="191" w:lineRule="auto"/>
        <w:rPr>
          <w:rFonts w:ascii="Times New Roman" w:eastAsia="Times New Roman" w:hAnsi="Times New Roman" w:cs="Times New Roman"/>
          <w:b/>
          <w:color w:val="0E0E0E"/>
          <w:sz w:val="32"/>
          <w:szCs w:val="32"/>
        </w:rPr>
      </w:pPr>
      <w:bookmarkStart w:id="2" w:name="_i5dkbq2gi4dq" w:colFirst="0" w:colLast="0"/>
      <w:bookmarkEnd w:id="2"/>
    </w:p>
    <w:p w14:paraId="5019B815" w14:textId="69D741C3" w:rsidR="004B2DDE" w:rsidRDefault="00000000">
      <w:pPr>
        <w:pStyle w:val="Heading1"/>
        <w:keepNext w:val="0"/>
        <w:keepLines w:val="0"/>
        <w:spacing w:before="480" w:after="280" w:line="191" w:lineRule="auto"/>
        <w:rPr>
          <w:rFonts w:ascii="Times New Roman" w:eastAsia="Times New Roman" w:hAnsi="Times New Roman" w:cs="Times New Roman"/>
          <w:b/>
          <w:color w:val="0E0E0E"/>
          <w:sz w:val="32"/>
          <w:szCs w:val="32"/>
        </w:rPr>
      </w:pPr>
      <w:r>
        <w:rPr>
          <w:rFonts w:ascii="Times New Roman" w:eastAsia="Times New Roman" w:hAnsi="Times New Roman" w:cs="Times New Roman"/>
          <w:b/>
          <w:color w:val="0E0E0E"/>
          <w:sz w:val="32"/>
          <w:szCs w:val="32"/>
        </w:rPr>
        <w:t>References</w:t>
      </w:r>
    </w:p>
    <w:p w14:paraId="05B7E03D" w14:textId="77777777" w:rsidR="004B2DDE" w:rsidRPr="000C1711" w:rsidRDefault="00000000">
      <w:pPr>
        <w:spacing w:line="301" w:lineRule="auto"/>
        <w:ind w:left="720"/>
        <w:rPr>
          <w:rFonts w:ascii="Times New Roman" w:eastAsia="Times New Roman" w:hAnsi="Times New Roman" w:cs="Times New Roman"/>
          <w:color w:val="0E0E0E"/>
          <w:sz w:val="21"/>
          <w:szCs w:val="21"/>
        </w:rPr>
      </w:pPr>
      <w:r w:rsidRPr="000C1711">
        <w:rPr>
          <w:rFonts w:ascii="Times New Roman" w:eastAsia="Times New Roman" w:hAnsi="Times New Roman" w:cs="Times New Roman"/>
          <w:color w:val="0E0E0E"/>
          <w:sz w:val="21"/>
          <w:szCs w:val="21"/>
        </w:rPr>
        <w:t xml:space="preserve">1. </w:t>
      </w:r>
      <w:r w:rsidRPr="000C1711">
        <w:rPr>
          <w:rFonts w:ascii="Times New Roman" w:eastAsia="Times New Roman" w:hAnsi="Times New Roman" w:cs="Times New Roman"/>
          <w:color w:val="0E0E0E"/>
          <w:sz w:val="21"/>
          <w:szCs w:val="21"/>
        </w:rPr>
        <w:tab/>
      </w:r>
      <w:hyperlink r:id="rId6">
        <w:r w:rsidRPr="000C1711">
          <w:rPr>
            <w:rFonts w:ascii="Times New Roman" w:eastAsia="Times New Roman" w:hAnsi="Times New Roman" w:cs="Times New Roman"/>
            <w:color w:val="0000FF"/>
            <w:sz w:val="21"/>
            <w:szCs w:val="21"/>
            <w:u w:val="single"/>
          </w:rPr>
          <w:t>Primary Anterior Lumbar Interbody Fusion, With and Without Posterior Instrumentation: A 1,377-Patient Cohort From a Multicenter Spine Registry.</w:t>
        </w:r>
      </w:hyperlink>
      <w:r w:rsidRPr="000C1711">
        <w:rPr>
          <w:rFonts w:ascii="Times New Roman" w:eastAsia="Times New Roman" w:hAnsi="Times New Roman" w:cs="Times New Roman"/>
          <w:color w:val="0E0E0E"/>
          <w:sz w:val="21"/>
          <w:szCs w:val="21"/>
        </w:rPr>
        <w:t xml:space="preserve"> </w:t>
      </w:r>
      <w:proofErr w:type="spellStart"/>
      <w:r w:rsidRPr="000C1711">
        <w:rPr>
          <w:rFonts w:ascii="Times New Roman" w:eastAsia="Times New Roman" w:hAnsi="Times New Roman" w:cs="Times New Roman"/>
          <w:color w:val="0E0E0E"/>
          <w:sz w:val="21"/>
          <w:szCs w:val="21"/>
        </w:rPr>
        <w:t>Laiwalla</w:t>
      </w:r>
      <w:proofErr w:type="spellEnd"/>
      <w:r w:rsidRPr="000C1711">
        <w:rPr>
          <w:rFonts w:ascii="Times New Roman" w:eastAsia="Times New Roman" w:hAnsi="Times New Roman" w:cs="Times New Roman"/>
          <w:color w:val="0E0E0E"/>
          <w:sz w:val="21"/>
          <w:szCs w:val="21"/>
        </w:rPr>
        <w:t xml:space="preserve"> AN, Chang RN, Harary M, et al. The Spine </w:t>
      </w:r>
      <w:proofErr w:type="gramStart"/>
      <w:r w:rsidRPr="000C1711">
        <w:rPr>
          <w:rFonts w:ascii="Times New Roman" w:eastAsia="Times New Roman" w:hAnsi="Times New Roman" w:cs="Times New Roman"/>
          <w:color w:val="0E0E0E"/>
          <w:sz w:val="21"/>
          <w:szCs w:val="21"/>
        </w:rPr>
        <w:t>Journal :</w:t>
      </w:r>
      <w:proofErr w:type="gramEnd"/>
      <w:r w:rsidRPr="000C1711">
        <w:rPr>
          <w:rFonts w:ascii="Times New Roman" w:eastAsia="Times New Roman" w:hAnsi="Times New Roman" w:cs="Times New Roman"/>
          <w:color w:val="0E0E0E"/>
          <w:sz w:val="21"/>
          <w:szCs w:val="21"/>
        </w:rPr>
        <w:t xml:space="preserve"> Official Journal of the North American Spine Society. 2024;24(3):496-505. </w:t>
      </w:r>
      <w:proofErr w:type="gramStart"/>
      <w:r w:rsidRPr="000C1711">
        <w:rPr>
          <w:rFonts w:ascii="Times New Roman" w:eastAsia="Times New Roman" w:hAnsi="Times New Roman" w:cs="Times New Roman"/>
          <w:color w:val="0E0E0E"/>
          <w:sz w:val="21"/>
          <w:szCs w:val="21"/>
        </w:rPr>
        <w:t>doi:10.1016/j.spinee</w:t>
      </w:r>
      <w:proofErr w:type="gramEnd"/>
      <w:r w:rsidRPr="000C1711">
        <w:rPr>
          <w:rFonts w:ascii="Times New Roman" w:eastAsia="Times New Roman" w:hAnsi="Times New Roman" w:cs="Times New Roman"/>
          <w:color w:val="0E0E0E"/>
          <w:sz w:val="21"/>
          <w:szCs w:val="21"/>
        </w:rPr>
        <w:t>.2023.10.003.</w:t>
      </w:r>
    </w:p>
    <w:p w14:paraId="7A223922" w14:textId="77777777" w:rsidR="004B2DDE" w:rsidRPr="000C1711" w:rsidRDefault="00000000">
      <w:pPr>
        <w:spacing w:line="301" w:lineRule="auto"/>
        <w:ind w:left="720"/>
        <w:rPr>
          <w:rFonts w:ascii="Times New Roman" w:eastAsia="Times New Roman" w:hAnsi="Times New Roman" w:cs="Times New Roman"/>
          <w:color w:val="0E0E0E"/>
          <w:sz w:val="21"/>
          <w:szCs w:val="21"/>
        </w:rPr>
      </w:pPr>
      <w:r w:rsidRPr="000C1711">
        <w:rPr>
          <w:rFonts w:ascii="Times New Roman" w:eastAsia="Times New Roman" w:hAnsi="Times New Roman" w:cs="Times New Roman"/>
          <w:color w:val="0E0E0E"/>
          <w:sz w:val="21"/>
          <w:szCs w:val="21"/>
        </w:rPr>
        <w:t xml:space="preserve">2. </w:t>
      </w:r>
      <w:r w:rsidRPr="000C1711">
        <w:rPr>
          <w:rFonts w:ascii="Times New Roman" w:eastAsia="Times New Roman" w:hAnsi="Times New Roman" w:cs="Times New Roman"/>
          <w:color w:val="0E0E0E"/>
          <w:sz w:val="21"/>
          <w:szCs w:val="21"/>
        </w:rPr>
        <w:tab/>
      </w:r>
      <w:hyperlink r:id="rId7">
        <w:r w:rsidRPr="000C1711">
          <w:rPr>
            <w:rFonts w:ascii="Times New Roman" w:eastAsia="Times New Roman" w:hAnsi="Times New Roman" w:cs="Times New Roman"/>
            <w:color w:val="0000FF"/>
            <w:sz w:val="21"/>
            <w:szCs w:val="21"/>
            <w:u w:val="single"/>
          </w:rPr>
          <w:t>Anterior Lumbar Interbody Fusion: Single Institutional Review of Complications and Associated Variables.</w:t>
        </w:r>
      </w:hyperlink>
      <w:r w:rsidRPr="000C1711">
        <w:rPr>
          <w:rFonts w:ascii="Times New Roman" w:eastAsia="Times New Roman" w:hAnsi="Times New Roman" w:cs="Times New Roman"/>
          <w:color w:val="0E0E0E"/>
          <w:sz w:val="21"/>
          <w:szCs w:val="21"/>
        </w:rPr>
        <w:t xml:space="preserve"> Mortazavi A, </w:t>
      </w:r>
      <w:proofErr w:type="spellStart"/>
      <w:r w:rsidRPr="000C1711">
        <w:rPr>
          <w:rFonts w:ascii="Times New Roman" w:eastAsia="Times New Roman" w:hAnsi="Times New Roman" w:cs="Times New Roman"/>
          <w:color w:val="0E0E0E"/>
          <w:sz w:val="21"/>
          <w:szCs w:val="21"/>
        </w:rPr>
        <w:t>Mualem</w:t>
      </w:r>
      <w:proofErr w:type="spellEnd"/>
      <w:r w:rsidRPr="000C1711">
        <w:rPr>
          <w:rFonts w:ascii="Times New Roman" w:eastAsia="Times New Roman" w:hAnsi="Times New Roman" w:cs="Times New Roman"/>
          <w:color w:val="0E0E0E"/>
          <w:sz w:val="21"/>
          <w:szCs w:val="21"/>
        </w:rPr>
        <w:t xml:space="preserve"> W, </w:t>
      </w:r>
      <w:proofErr w:type="spellStart"/>
      <w:r w:rsidRPr="000C1711">
        <w:rPr>
          <w:rFonts w:ascii="Times New Roman" w:eastAsia="Times New Roman" w:hAnsi="Times New Roman" w:cs="Times New Roman"/>
          <w:color w:val="0E0E0E"/>
          <w:sz w:val="21"/>
          <w:szCs w:val="21"/>
        </w:rPr>
        <w:t>Dowlati</w:t>
      </w:r>
      <w:proofErr w:type="spellEnd"/>
      <w:r w:rsidRPr="000C1711">
        <w:rPr>
          <w:rFonts w:ascii="Times New Roman" w:eastAsia="Times New Roman" w:hAnsi="Times New Roman" w:cs="Times New Roman"/>
          <w:color w:val="0E0E0E"/>
          <w:sz w:val="21"/>
          <w:szCs w:val="21"/>
        </w:rPr>
        <w:t xml:space="preserve"> E, et al. The Spine </w:t>
      </w:r>
      <w:proofErr w:type="gramStart"/>
      <w:r w:rsidRPr="000C1711">
        <w:rPr>
          <w:rFonts w:ascii="Times New Roman" w:eastAsia="Times New Roman" w:hAnsi="Times New Roman" w:cs="Times New Roman"/>
          <w:color w:val="0E0E0E"/>
          <w:sz w:val="21"/>
          <w:szCs w:val="21"/>
        </w:rPr>
        <w:t>Journal :</w:t>
      </w:r>
      <w:proofErr w:type="gramEnd"/>
      <w:r w:rsidRPr="000C1711">
        <w:rPr>
          <w:rFonts w:ascii="Times New Roman" w:eastAsia="Times New Roman" w:hAnsi="Times New Roman" w:cs="Times New Roman"/>
          <w:color w:val="0E0E0E"/>
          <w:sz w:val="21"/>
          <w:szCs w:val="21"/>
        </w:rPr>
        <w:t xml:space="preserve"> Official Journal of the North American Spine Society. 2022;22(3):454-462. </w:t>
      </w:r>
      <w:proofErr w:type="gramStart"/>
      <w:r w:rsidRPr="000C1711">
        <w:rPr>
          <w:rFonts w:ascii="Times New Roman" w:eastAsia="Times New Roman" w:hAnsi="Times New Roman" w:cs="Times New Roman"/>
          <w:color w:val="0E0E0E"/>
          <w:sz w:val="21"/>
          <w:szCs w:val="21"/>
        </w:rPr>
        <w:t>doi:10.1016/j.spinee</w:t>
      </w:r>
      <w:proofErr w:type="gramEnd"/>
      <w:r w:rsidRPr="000C1711">
        <w:rPr>
          <w:rFonts w:ascii="Times New Roman" w:eastAsia="Times New Roman" w:hAnsi="Times New Roman" w:cs="Times New Roman"/>
          <w:color w:val="0E0E0E"/>
          <w:sz w:val="21"/>
          <w:szCs w:val="21"/>
        </w:rPr>
        <w:t>.2021.09.010.</w:t>
      </w:r>
    </w:p>
    <w:p w14:paraId="0DF6B74E" w14:textId="77777777" w:rsidR="004B2DDE" w:rsidRPr="000C1711" w:rsidRDefault="00000000">
      <w:pPr>
        <w:spacing w:line="301" w:lineRule="auto"/>
        <w:ind w:left="720"/>
        <w:rPr>
          <w:rFonts w:ascii="Times New Roman" w:eastAsia="Times New Roman" w:hAnsi="Times New Roman" w:cs="Times New Roman"/>
          <w:color w:val="0E0E0E"/>
          <w:sz w:val="21"/>
          <w:szCs w:val="21"/>
        </w:rPr>
      </w:pPr>
      <w:r w:rsidRPr="000C1711">
        <w:rPr>
          <w:rFonts w:ascii="Times New Roman" w:eastAsia="Times New Roman" w:hAnsi="Times New Roman" w:cs="Times New Roman"/>
          <w:color w:val="0E0E0E"/>
          <w:sz w:val="21"/>
          <w:szCs w:val="21"/>
        </w:rPr>
        <w:t xml:space="preserve">3. </w:t>
      </w:r>
      <w:r w:rsidRPr="000C1711">
        <w:rPr>
          <w:rFonts w:ascii="Times New Roman" w:eastAsia="Times New Roman" w:hAnsi="Times New Roman" w:cs="Times New Roman"/>
          <w:color w:val="0E0E0E"/>
          <w:sz w:val="21"/>
          <w:szCs w:val="21"/>
        </w:rPr>
        <w:tab/>
      </w:r>
      <w:hyperlink r:id="rId8">
        <w:r w:rsidRPr="000C1711">
          <w:rPr>
            <w:rFonts w:ascii="Times New Roman" w:eastAsia="Times New Roman" w:hAnsi="Times New Roman" w:cs="Times New Roman"/>
            <w:color w:val="0000FF"/>
            <w:sz w:val="21"/>
            <w:szCs w:val="21"/>
            <w:u w:val="single"/>
          </w:rPr>
          <w:t>Retrospective Analysis of Medium-Term Outcomes Following Anterior Lumbar Interbody Fusion Surgery Performed in a Tertiary Spinal Surgical Centre.</w:t>
        </w:r>
      </w:hyperlink>
      <w:r w:rsidRPr="000C1711">
        <w:rPr>
          <w:rFonts w:ascii="Times New Roman" w:eastAsia="Times New Roman" w:hAnsi="Times New Roman" w:cs="Times New Roman"/>
          <w:color w:val="0E0E0E"/>
          <w:sz w:val="21"/>
          <w:szCs w:val="21"/>
        </w:rPr>
        <w:t xml:space="preserve"> </w:t>
      </w:r>
      <w:proofErr w:type="spellStart"/>
      <w:r w:rsidRPr="000C1711">
        <w:rPr>
          <w:rFonts w:ascii="Times New Roman" w:eastAsia="Times New Roman" w:hAnsi="Times New Roman" w:cs="Times New Roman"/>
          <w:color w:val="0E0E0E"/>
          <w:sz w:val="21"/>
          <w:szCs w:val="21"/>
        </w:rPr>
        <w:t>Srirangarajan</w:t>
      </w:r>
      <w:proofErr w:type="spellEnd"/>
      <w:r w:rsidRPr="000C1711">
        <w:rPr>
          <w:rFonts w:ascii="Times New Roman" w:eastAsia="Times New Roman" w:hAnsi="Times New Roman" w:cs="Times New Roman"/>
          <w:color w:val="0E0E0E"/>
          <w:sz w:val="21"/>
          <w:szCs w:val="21"/>
        </w:rPr>
        <w:t xml:space="preserve"> T, </w:t>
      </w:r>
      <w:proofErr w:type="spellStart"/>
      <w:r w:rsidRPr="000C1711">
        <w:rPr>
          <w:rFonts w:ascii="Times New Roman" w:eastAsia="Times New Roman" w:hAnsi="Times New Roman" w:cs="Times New Roman"/>
          <w:color w:val="0E0E0E"/>
          <w:sz w:val="21"/>
          <w:szCs w:val="21"/>
        </w:rPr>
        <w:t>Eseonu</w:t>
      </w:r>
      <w:proofErr w:type="spellEnd"/>
      <w:r w:rsidRPr="000C1711">
        <w:rPr>
          <w:rFonts w:ascii="Times New Roman" w:eastAsia="Times New Roman" w:hAnsi="Times New Roman" w:cs="Times New Roman"/>
          <w:color w:val="0E0E0E"/>
          <w:sz w:val="21"/>
          <w:szCs w:val="21"/>
        </w:rPr>
        <w:t xml:space="preserve"> K, </w:t>
      </w:r>
      <w:proofErr w:type="spellStart"/>
      <w:r w:rsidRPr="000C1711">
        <w:rPr>
          <w:rFonts w:ascii="Times New Roman" w:eastAsia="Times New Roman" w:hAnsi="Times New Roman" w:cs="Times New Roman"/>
          <w:color w:val="0E0E0E"/>
          <w:sz w:val="21"/>
          <w:szCs w:val="21"/>
        </w:rPr>
        <w:t>Fakouri</w:t>
      </w:r>
      <w:proofErr w:type="spellEnd"/>
      <w:r w:rsidRPr="000C1711">
        <w:rPr>
          <w:rFonts w:ascii="Times New Roman" w:eastAsia="Times New Roman" w:hAnsi="Times New Roman" w:cs="Times New Roman"/>
          <w:color w:val="0E0E0E"/>
          <w:sz w:val="21"/>
          <w:szCs w:val="21"/>
        </w:rPr>
        <w:t xml:space="preserve"> B, et al. Annals of the Royal College of Surgeons of England. 2024;106(6):540-546. doi:10.1308/rcsann.2023.0082.</w:t>
      </w:r>
    </w:p>
    <w:p w14:paraId="4CE2D8AB" w14:textId="77777777" w:rsidR="004B2DDE" w:rsidRPr="000C1711" w:rsidRDefault="00000000">
      <w:pPr>
        <w:spacing w:line="301" w:lineRule="auto"/>
        <w:ind w:left="720"/>
        <w:rPr>
          <w:rFonts w:ascii="Times New Roman" w:eastAsia="Times New Roman" w:hAnsi="Times New Roman" w:cs="Times New Roman"/>
          <w:color w:val="0E0E0E"/>
          <w:sz w:val="21"/>
          <w:szCs w:val="21"/>
        </w:rPr>
      </w:pPr>
      <w:r w:rsidRPr="000C1711">
        <w:rPr>
          <w:rFonts w:ascii="Times New Roman" w:eastAsia="Times New Roman" w:hAnsi="Times New Roman" w:cs="Times New Roman"/>
          <w:color w:val="0E0E0E"/>
          <w:sz w:val="21"/>
          <w:szCs w:val="21"/>
        </w:rPr>
        <w:t xml:space="preserve">4. </w:t>
      </w:r>
      <w:r w:rsidRPr="000C1711">
        <w:rPr>
          <w:rFonts w:ascii="Times New Roman" w:eastAsia="Times New Roman" w:hAnsi="Times New Roman" w:cs="Times New Roman"/>
          <w:color w:val="0E0E0E"/>
          <w:sz w:val="21"/>
          <w:szCs w:val="21"/>
        </w:rPr>
        <w:tab/>
      </w:r>
      <w:hyperlink r:id="rId9">
        <w:r w:rsidRPr="000C1711">
          <w:rPr>
            <w:rFonts w:ascii="Times New Roman" w:eastAsia="Times New Roman" w:hAnsi="Times New Roman" w:cs="Times New Roman"/>
            <w:color w:val="0000FF"/>
            <w:sz w:val="21"/>
            <w:szCs w:val="21"/>
            <w:u w:val="single"/>
          </w:rPr>
          <w:t>ALIF vs. Posterior Fusion for Lumbar Degenerative Disease: Comparable Efficacy but Elevated Risk of Severe Complications-a Systematic Review and Meta-Analysis.</w:t>
        </w:r>
      </w:hyperlink>
      <w:r w:rsidRPr="000C1711">
        <w:rPr>
          <w:rFonts w:ascii="Times New Roman" w:eastAsia="Times New Roman" w:hAnsi="Times New Roman" w:cs="Times New Roman"/>
          <w:color w:val="0E0E0E"/>
          <w:sz w:val="21"/>
          <w:szCs w:val="21"/>
        </w:rPr>
        <w:t xml:space="preserve"> Onishi FJ, de </w:t>
      </w:r>
      <w:r w:rsidRPr="000C1711">
        <w:rPr>
          <w:rFonts w:ascii="Times New Roman" w:eastAsia="Times New Roman" w:hAnsi="Times New Roman" w:cs="Times New Roman"/>
          <w:color w:val="0E0E0E"/>
          <w:sz w:val="21"/>
          <w:szCs w:val="21"/>
        </w:rPr>
        <w:lastRenderedPageBreak/>
        <w:t xml:space="preserve">Vasconcelos VT. European Spine Journal : Official Publication of the European Spine Society, the European Spinal Deformity Society, and the European Section of the Cervical Spine Research Society. </w:t>
      </w:r>
      <w:proofErr w:type="gramStart"/>
      <w:r w:rsidRPr="000C1711">
        <w:rPr>
          <w:rFonts w:ascii="Times New Roman" w:eastAsia="Times New Roman" w:hAnsi="Times New Roman" w:cs="Times New Roman"/>
          <w:color w:val="0E0E0E"/>
          <w:sz w:val="21"/>
          <w:szCs w:val="21"/>
        </w:rPr>
        <w:t>2025;:</w:t>
      </w:r>
      <w:proofErr w:type="gramEnd"/>
      <w:r w:rsidRPr="000C1711">
        <w:rPr>
          <w:rFonts w:ascii="Times New Roman" w:eastAsia="Times New Roman" w:hAnsi="Times New Roman" w:cs="Times New Roman"/>
          <w:color w:val="0E0E0E"/>
          <w:sz w:val="21"/>
          <w:szCs w:val="21"/>
        </w:rPr>
        <w:t>10.1007/s00586-025-08914-w. doi:10.1007/s00586-025-08914-w.</w:t>
      </w:r>
    </w:p>
    <w:p w14:paraId="359EEDD7" w14:textId="77777777" w:rsidR="004B2DDE" w:rsidRPr="000C1711" w:rsidRDefault="00000000">
      <w:pPr>
        <w:spacing w:line="301" w:lineRule="auto"/>
        <w:ind w:left="720"/>
        <w:rPr>
          <w:rFonts w:ascii="Times New Roman" w:eastAsia="Times New Roman" w:hAnsi="Times New Roman" w:cs="Times New Roman"/>
          <w:color w:val="0E0E0E"/>
          <w:sz w:val="21"/>
          <w:szCs w:val="21"/>
        </w:rPr>
      </w:pPr>
      <w:r w:rsidRPr="000C1711">
        <w:rPr>
          <w:rFonts w:ascii="Times New Roman" w:eastAsia="Times New Roman" w:hAnsi="Times New Roman" w:cs="Times New Roman"/>
          <w:color w:val="0E0E0E"/>
          <w:sz w:val="21"/>
          <w:szCs w:val="21"/>
        </w:rPr>
        <w:t xml:space="preserve">5. </w:t>
      </w:r>
      <w:r w:rsidRPr="000C1711">
        <w:rPr>
          <w:rFonts w:ascii="Times New Roman" w:eastAsia="Times New Roman" w:hAnsi="Times New Roman" w:cs="Times New Roman"/>
          <w:color w:val="0E0E0E"/>
          <w:sz w:val="21"/>
          <w:szCs w:val="21"/>
        </w:rPr>
        <w:tab/>
      </w:r>
      <w:hyperlink r:id="rId10">
        <w:r w:rsidRPr="000C1711">
          <w:rPr>
            <w:rFonts w:ascii="Times New Roman" w:eastAsia="Times New Roman" w:hAnsi="Times New Roman" w:cs="Times New Roman"/>
            <w:color w:val="0000FF"/>
            <w:sz w:val="21"/>
            <w:szCs w:val="21"/>
            <w:u w:val="single"/>
          </w:rPr>
          <w:t>A Comparison of Anterior and Posterior Lumbar Interbody Fusions: Complications, Readmissions, Discharge Dispositions, and Costs.</w:t>
        </w:r>
      </w:hyperlink>
      <w:r w:rsidRPr="000C1711">
        <w:rPr>
          <w:rFonts w:ascii="Times New Roman" w:eastAsia="Times New Roman" w:hAnsi="Times New Roman" w:cs="Times New Roman"/>
          <w:color w:val="0E0E0E"/>
          <w:sz w:val="21"/>
          <w:szCs w:val="21"/>
        </w:rPr>
        <w:t xml:space="preserve"> Qureshi R, </w:t>
      </w:r>
      <w:proofErr w:type="spellStart"/>
      <w:r w:rsidRPr="000C1711">
        <w:rPr>
          <w:rFonts w:ascii="Times New Roman" w:eastAsia="Times New Roman" w:hAnsi="Times New Roman" w:cs="Times New Roman"/>
          <w:color w:val="0E0E0E"/>
          <w:sz w:val="21"/>
          <w:szCs w:val="21"/>
        </w:rPr>
        <w:t>Puvanesarajah</w:t>
      </w:r>
      <w:proofErr w:type="spellEnd"/>
      <w:r w:rsidRPr="000C1711">
        <w:rPr>
          <w:rFonts w:ascii="Times New Roman" w:eastAsia="Times New Roman" w:hAnsi="Times New Roman" w:cs="Times New Roman"/>
          <w:color w:val="0E0E0E"/>
          <w:sz w:val="21"/>
          <w:szCs w:val="21"/>
        </w:rPr>
        <w:t xml:space="preserve"> V, Jain A, et al. Spine. 2017;42(24):1865-1870. doi:10.1097/BRS.0000000000002248.</w:t>
      </w:r>
    </w:p>
    <w:p w14:paraId="2D172327" w14:textId="77777777" w:rsidR="004B2DDE" w:rsidRPr="000C1711" w:rsidRDefault="00000000">
      <w:pPr>
        <w:spacing w:line="301" w:lineRule="auto"/>
        <w:ind w:left="720"/>
        <w:rPr>
          <w:rFonts w:ascii="Times New Roman" w:eastAsia="Times New Roman" w:hAnsi="Times New Roman" w:cs="Times New Roman"/>
          <w:color w:val="0E0E0E"/>
          <w:sz w:val="21"/>
          <w:szCs w:val="21"/>
        </w:rPr>
      </w:pPr>
      <w:r w:rsidRPr="000C1711">
        <w:rPr>
          <w:rFonts w:ascii="Times New Roman" w:eastAsia="Times New Roman" w:hAnsi="Times New Roman" w:cs="Times New Roman"/>
          <w:color w:val="0E0E0E"/>
          <w:sz w:val="21"/>
          <w:szCs w:val="21"/>
        </w:rPr>
        <w:t xml:space="preserve">6. </w:t>
      </w:r>
      <w:r w:rsidRPr="000C1711">
        <w:rPr>
          <w:rFonts w:ascii="Times New Roman" w:eastAsia="Times New Roman" w:hAnsi="Times New Roman" w:cs="Times New Roman"/>
          <w:color w:val="0E0E0E"/>
          <w:sz w:val="21"/>
          <w:szCs w:val="21"/>
        </w:rPr>
        <w:tab/>
      </w:r>
      <w:hyperlink r:id="rId11">
        <w:r w:rsidRPr="000C1711">
          <w:rPr>
            <w:rFonts w:ascii="Times New Roman" w:eastAsia="Times New Roman" w:hAnsi="Times New Roman" w:cs="Times New Roman"/>
            <w:color w:val="0000FF"/>
            <w:sz w:val="21"/>
            <w:szCs w:val="21"/>
            <w:u w:val="single"/>
          </w:rPr>
          <w:t>Outcomes of Anterior vs. Posterior Approach to Single-Level Lumbar Spinal Fusion With Interbody Device: An Analysis of the Nationwide Inpatient Sample.</w:t>
        </w:r>
      </w:hyperlink>
      <w:r w:rsidRPr="000C1711">
        <w:rPr>
          <w:rFonts w:ascii="Times New Roman" w:eastAsia="Times New Roman" w:hAnsi="Times New Roman" w:cs="Times New Roman"/>
          <w:color w:val="0E0E0E"/>
          <w:sz w:val="21"/>
          <w:szCs w:val="21"/>
        </w:rPr>
        <w:t xml:space="preserve"> De Stefano F, Haddad H, Mayo T, Nouman M, Fiani B. Clinical Neurology and Neurosurgery. </w:t>
      </w:r>
      <w:proofErr w:type="gramStart"/>
      <w:r w:rsidRPr="000C1711">
        <w:rPr>
          <w:rFonts w:ascii="Times New Roman" w:eastAsia="Times New Roman" w:hAnsi="Times New Roman" w:cs="Times New Roman"/>
          <w:color w:val="0E0E0E"/>
          <w:sz w:val="21"/>
          <w:szCs w:val="21"/>
        </w:rPr>
        <w:t>2022;212:107061</w:t>
      </w:r>
      <w:proofErr w:type="gramEnd"/>
      <w:r w:rsidRPr="000C1711">
        <w:rPr>
          <w:rFonts w:ascii="Times New Roman" w:eastAsia="Times New Roman" w:hAnsi="Times New Roman" w:cs="Times New Roman"/>
          <w:color w:val="0E0E0E"/>
          <w:sz w:val="21"/>
          <w:szCs w:val="21"/>
        </w:rPr>
        <w:t xml:space="preserve">. </w:t>
      </w:r>
      <w:proofErr w:type="gramStart"/>
      <w:r w:rsidRPr="000C1711">
        <w:rPr>
          <w:rFonts w:ascii="Times New Roman" w:eastAsia="Times New Roman" w:hAnsi="Times New Roman" w:cs="Times New Roman"/>
          <w:color w:val="0E0E0E"/>
          <w:sz w:val="21"/>
          <w:szCs w:val="21"/>
        </w:rPr>
        <w:t>doi:10.1016/j.clineuro</w:t>
      </w:r>
      <w:proofErr w:type="gramEnd"/>
      <w:r w:rsidRPr="000C1711">
        <w:rPr>
          <w:rFonts w:ascii="Times New Roman" w:eastAsia="Times New Roman" w:hAnsi="Times New Roman" w:cs="Times New Roman"/>
          <w:color w:val="0E0E0E"/>
          <w:sz w:val="21"/>
          <w:szCs w:val="21"/>
        </w:rPr>
        <w:t>.2021.107061.</w:t>
      </w:r>
    </w:p>
    <w:p w14:paraId="6BAC6509" w14:textId="77777777" w:rsidR="004B2DDE" w:rsidRPr="000C1711" w:rsidRDefault="00000000">
      <w:pPr>
        <w:spacing w:line="301" w:lineRule="auto"/>
        <w:ind w:left="720"/>
        <w:rPr>
          <w:rFonts w:ascii="Times New Roman" w:eastAsia="Times New Roman" w:hAnsi="Times New Roman" w:cs="Times New Roman"/>
          <w:color w:val="0E0E0E"/>
          <w:sz w:val="21"/>
          <w:szCs w:val="21"/>
        </w:rPr>
      </w:pPr>
      <w:r w:rsidRPr="000C1711">
        <w:rPr>
          <w:rFonts w:ascii="Times New Roman" w:eastAsia="Times New Roman" w:hAnsi="Times New Roman" w:cs="Times New Roman"/>
          <w:color w:val="0E0E0E"/>
          <w:sz w:val="21"/>
          <w:szCs w:val="21"/>
        </w:rPr>
        <w:t xml:space="preserve">7. </w:t>
      </w:r>
      <w:r w:rsidRPr="000C1711">
        <w:rPr>
          <w:rFonts w:ascii="Times New Roman" w:eastAsia="Times New Roman" w:hAnsi="Times New Roman" w:cs="Times New Roman"/>
          <w:color w:val="0E0E0E"/>
          <w:sz w:val="21"/>
          <w:szCs w:val="21"/>
        </w:rPr>
        <w:tab/>
      </w:r>
      <w:hyperlink r:id="rId12">
        <w:r w:rsidRPr="000C1711">
          <w:rPr>
            <w:rFonts w:ascii="Times New Roman" w:eastAsia="Times New Roman" w:hAnsi="Times New Roman" w:cs="Times New Roman"/>
            <w:color w:val="0000FF"/>
            <w:sz w:val="21"/>
            <w:szCs w:val="21"/>
            <w:u w:val="single"/>
          </w:rPr>
          <w:t>Approach-Based Comparative and Predictor Analysis of 30-Day Readmission, Reoperation, and Morbidity in Patients Undergoin</w:t>
        </w:r>
        <w:r w:rsidRPr="000C1711">
          <w:rPr>
            <w:rFonts w:ascii="Times New Roman" w:eastAsia="Times New Roman" w:hAnsi="Times New Roman" w:cs="Times New Roman"/>
            <w:color w:val="0000FF"/>
            <w:sz w:val="21"/>
            <w:szCs w:val="21"/>
            <w:u w:val="single"/>
          </w:rPr>
          <w:t>g</w:t>
        </w:r>
        <w:r w:rsidRPr="000C1711">
          <w:rPr>
            <w:rFonts w:ascii="Times New Roman" w:eastAsia="Times New Roman" w:hAnsi="Times New Roman" w:cs="Times New Roman"/>
            <w:color w:val="0000FF"/>
            <w:sz w:val="21"/>
            <w:szCs w:val="21"/>
            <w:u w:val="single"/>
          </w:rPr>
          <w:t xml:space="preserve"> Lumbar Interbody Fusion Using the ACS-NSQIP Dataset.</w:t>
        </w:r>
      </w:hyperlink>
      <w:r w:rsidRPr="000C1711">
        <w:rPr>
          <w:rFonts w:ascii="Times New Roman" w:eastAsia="Times New Roman" w:hAnsi="Times New Roman" w:cs="Times New Roman"/>
          <w:color w:val="0E0E0E"/>
          <w:sz w:val="21"/>
          <w:szCs w:val="21"/>
        </w:rPr>
        <w:t xml:space="preserve"> Katz AD, Mancini N, </w:t>
      </w:r>
      <w:proofErr w:type="spellStart"/>
      <w:r w:rsidRPr="000C1711">
        <w:rPr>
          <w:rFonts w:ascii="Times New Roman" w:eastAsia="Times New Roman" w:hAnsi="Times New Roman" w:cs="Times New Roman"/>
          <w:color w:val="0E0E0E"/>
          <w:sz w:val="21"/>
          <w:szCs w:val="21"/>
        </w:rPr>
        <w:t>Karukonda</w:t>
      </w:r>
      <w:proofErr w:type="spellEnd"/>
      <w:r w:rsidRPr="000C1711">
        <w:rPr>
          <w:rFonts w:ascii="Times New Roman" w:eastAsia="Times New Roman" w:hAnsi="Times New Roman" w:cs="Times New Roman"/>
          <w:color w:val="0E0E0E"/>
          <w:sz w:val="21"/>
          <w:szCs w:val="21"/>
        </w:rPr>
        <w:t xml:space="preserve"> T, et al. Spine. 2019;44(6):432-441. doi:10.1097/BRS.0000000000002850.</w:t>
      </w:r>
    </w:p>
    <w:p w14:paraId="4FACEA41" w14:textId="77777777" w:rsidR="004B2DDE" w:rsidRPr="000C1711" w:rsidRDefault="00000000">
      <w:pPr>
        <w:spacing w:line="301" w:lineRule="auto"/>
        <w:ind w:left="720"/>
        <w:rPr>
          <w:rFonts w:ascii="Times New Roman" w:eastAsia="Times New Roman" w:hAnsi="Times New Roman" w:cs="Times New Roman"/>
          <w:color w:val="0E0E0E"/>
          <w:sz w:val="21"/>
          <w:szCs w:val="21"/>
        </w:rPr>
      </w:pPr>
      <w:r w:rsidRPr="000C1711">
        <w:rPr>
          <w:rFonts w:ascii="Times New Roman" w:eastAsia="Times New Roman" w:hAnsi="Times New Roman" w:cs="Times New Roman"/>
          <w:color w:val="0E0E0E"/>
          <w:sz w:val="21"/>
          <w:szCs w:val="21"/>
        </w:rPr>
        <w:t xml:space="preserve">8. </w:t>
      </w:r>
      <w:r w:rsidRPr="000C1711">
        <w:rPr>
          <w:rFonts w:ascii="Times New Roman" w:eastAsia="Times New Roman" w:hAnsi="Times New Roman" w:cs="Times New Roman"/>
          <w:color w:val="0E0E0E"/>
          <w:sz w:val="21"/>
          <w:szCs w:val="21"/>
        </w:rPr>
        <w:tab/>
      </w:r>
      <w:hyperlink r:id="rId13">
        <w:r w:rsidRPr="000C1711">
          <w:rPr>
            <w:rFonts w:ascii="Times New Roman" w:eastAsia="Times New Roman" w:hAnsi="Times New Roman" w:cs="Times New Roman"/>
            <w:color w:val="0000FF"/>
            <w:sz w:val="21"/>
            <w:szCs w:val="21"/>
            <w:u w:val="single"/>
          </w:rPr>
          <w:t>Unilateral Versus Bilateral Pedicle Screw Fixation With Anterior Lumbar Interbody Fusion: A Comparison of Postoperative Outcomes.</w:t>
        </w:r>
      </w:hyperlink>
      <w:r w:rsidRPr="000C1711">
        <w:rPr>
          <w:rFonts w:ascii="Times New Roman" w:eastAsia="Times New Roman" w:hAnsi="Times New Roman" w:cs="Times New Roman"/>
          <w:color w:val="0E0E0E"/>
          <w:sz w:val="21"/>
          <w:szCs w:val="21"/>
        </w:rPr>
        <w:t xml:space="preserve"> Levy HA, Pumford A, Kelley B, et al. European Spine Journal : Official Publication of the European Spine Society, the European Spinal Deformity Society, and the European Section of the Cervical Spine Research Society. 2024;33(9):3476-3483. doi:10.1007/s00586-024-08412-5.</w:t>
      </w:r>
    </w:p>
    <w:p w14:paraId="37A38D51" w14:textId="77777777" w:rsidR="004B2DDE" w:rsidRDefault="004B2DDE">
      <w:pPr>
        <w:rPr>
          <w:rFonts w:ascii="Times New Roman" w:eastAsia="Times New Roman" w:hAnsi="Times New Roman" w:cs="Times New Roman"/>
          <w:color w:val="0E0E0E"/>
          <w:sz w:val="24"/>
          <w:szCs w:val="24"/>
        </w:rPr>
      </w:pPr>
    </w:p>
    <w:sectPr w:rsidR="004B2DDE">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05375" w14:textId="77777777" w:rsidR="001F1706" w:rsidRDefault="001F1706">
      <w:pPr>
        <w:spacing w:line="240" w:lineRule="auto"/>
      </w:pPr>
      <w:r>
        <w:separator/>
      </w:r>
    </w:p>
  </w:endnote>
  <w:endnote w:type="continuationSeparator" w:id="0">
    <w:p w14:paraId="37EFDF79" w14:textId="77777777" w:rsidR="001F1706" w:rsidRDefault="001F17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A853B" w14:textId="5C93DE61" w:rsidR="004B2DDE" w:rsidRDefault="00000000">
    <w:pPr>
      <w:jc w:val="right"/>
    </w:pPr>
    <w:r>
      <w:fldChar w:fldCharType="begin"/>
    </w:r>
    <w:r>
      <w:instrText>PAGE</w:instrText>
    </w:r>
    <w:r>
      <w:fldChar w:fldCharType="separate"/>
    </w:r>
    <w:r w:rsidR="000C171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4A3C2" w14:textId="77777777" w:rsidR="004B2DDE" w:rsidRDefault="00000000">
    <w:pPr>
      <w:jc w:val="right"/>
    </w:pPr>
    <w:r>
      <w:fldChar w:fldCharType="begin"/>
    </w:r>
    <w:r>
      <w:instrText>PAGE</w:instrText>
    </w:r>
    <w:r>
      <w:fldChar w:fldCharType="separate"/>
    </w:r>
    <w:r w:rsidR="000C171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03DDC" w14:textId="77777777" w:rsidR="001F1706" w:rsidRDefault="001F1706">
      <w:pPr>
        <w:spacing w:line="240" w:lineRule="auto"/>
      </w:pPr>
      <w:r>
        <w:separator/>
      </w:r>
    </w:p>
  </w:footnote>
  <w:footnote w:type="continuationSeparator" w:id="0">
    <w:p w14:paraId="1AFD38E0" w14:textId="77777777" w:rsidR="001F1706" w:rsidRDefault="001F17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454B3" w14:textId="77777777" w:rsidR="004B2DDE" w:rsidRDefault="004B2D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BF79" w14:textId="77777777" w:rsidR="004B2DDE" w:rsidRDefault="00000000">
    <w:r>
      <w:rPr>
        <w:noProof/>
      </w:rPr>
      <w:drawing>
        <wp:anchor distT="114300" distB="114300" distL="114300" distR="114300" simplePos="0" relativeHeight="251658240" behindDoc="1" locked="0" layoutInCell="1" hidden="0" allowOverlap="1" wp14:anchorId="51BDFD99" wp14:editId="00B6C841">
          <wp:simplePos x="0" y="0"/>
          <wp:positionH relativeFrom="column">
            <wp:posOffset>5229225</wp:posOffset>
          </wp:positionH>
          <wp:positionV relativeFrom="paragraph">
            <wp:posOffset>-285749</wp:posOffset>
          </wp:positionV>
          <wp:extent cx="1414481" cy="43781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4481" cy="437816"/>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7F2D07C7" wp14:editId="7D9056E6">
          <wp:simplePos x="0" y="0"/>
          <wp:positionH relativeFrom="column">
            <wp:posOffset>-628649</wp:posOffset>
          </wp:positionH>
          <wp:positionV relativeFrom="paragraph">
            <wp:posOffset>-219074</wp:posOffset>
          </wp:positionV>
          <wp:extent cx="1419225" cy="30852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19225" cy="308527"/>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DE"/>
    <w:rsid w:val="000C1711"/>
    <w:rsid w:val="001F1706"/>
    <w:rsid w:val="004B2DDE"/>
    <w:rsid w:val="00900F6D"/>
    <w:rsid w:val="009E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1E7F"/>
  <w15:docId w15:val="{151A9743-FFD6-2D43-B1E0-5EC897E9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ubmed.ncbi.nlm.nih.gov/38478070" TargetMode="External"/><Relationship Id="rId13" Type="http://schemas.openxmlformats.org/officeDocument/2006/relationships/hyperlink" Target="https://pubmed.ncbi.nlm.nih.gov/390140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ubmed.ncbi.nlm.nih.gov/34600108" TargetMode="External"/><Relationship Id="rId12" Type="http://schemas.openxmlformats.org/officeDocument/2006/relationships/hyperlink" Target="https://pubmed.ncbi.nlm.nih.gov/30138253"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pubmed.ncbi.nlm.nih.gov/37875244" TargetMode="External"/><Relationship Id="rId11" Type="http://schemas.openxmlformats.org/officeDocument/2006/relationships/hyperlink" Target="https://pubmed.ncbi.nlm.nih.gov/34863055"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pubmed.ncbi.nlm.nih.gov/2854900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pubmed.ncbi.nlm.nih.gov/40402235"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Meyers, DO</cp:lastModifiedBy>
  <cp:revision>2</cp:revision>
  <dcterms:created xsi:type="dcterms:W3CDTF">2025-08-19T09:23:00Z</dcterms:created>
  <dcterms:modified xsi:type="dcterms:W3CDTF">2025-08-19T09:23:00Z</dcterms:modified>
</cp:coreProperties>
</file>