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80" w:before="480" w:line="191.9997391304348" w:lineRule="auto"/>
        <w:jc w:val="center"/>
        <w:rPr>
          <w:b w:val="1"/>
          <w:color w:val="0e0e0e"/>
          <w:sz w:val="27"/>
          <w:szCs w:val="27"/>
        </w:rPr>
      </w:pPr>
      <w:bookmarkStart w:colFirst="0" w:colLast="0" w:name="_wgs0ysrq8lq8" w:id="0"/>
      <w:bookmarkEnd w:id="0"/>
      <w:r w:rsidDel="00000000" w:rsidR="00000000" w:rsidRPr="00000000">
        <w:rPr>
          <w:b w:val="1"/>
          <w:color w:val="0e0e0e"/>
          <w:sz w:val="27"/>
          <w:szCs w:val="27"/>
          <w:rtl w:val="0"/>
        </w:rPr>
        <w:t xml:space="preserve">Anterior Cervical Discectomy and Fusion (ACDF)</w:t>
      </w:r>
    </w:p>
    <w:p w:rsidR="00000000" w:rsidDel="00000000" w:rsidP="00000000" w:rsidRDefault="00000000" w:rsidRPr="00000000" w14:paraId="00000002">
      <w:pPr>
        <w:pStyle w:val="Heading1"/>
        <w:keepNext w:val="0"/>
        <w:keepLines w:val="0"/>
        <w:spacing w:after="280" w:before="480" w:line="191.9997391304348" w:lineRule="auto"/>
        <w:jc w:val="center"/>
        <w:rPr>
          <w:rFonts w:ascii="Times New Roman" w:cs="Times New Roman" w:eastAsia="Times New Roman" w:hAnsi="Times New Roman"/>
          <w:b w:val="1"/>
          <w:sz w:val="32"/>
          <w:szCs w:val="32"/>
        </w:rPr>
      </w:pPr>
      <w:bookmarkStart w:colFirst="0" w:colLast="0" w:name="_7wr20q94yjda" w:id="1"/>
      <w:bookmarkEnd w:id="1"/>
      <w:r w:rsidDel="00000000" w:rsidR="00000000" w:rsidRPr="00000000">
        <w:rPr>
          <w:rFonts w:ascii="Times New Roman" w:cs="Times New Roman" w:eastAsia="Times New Roman" w:hAnsi="Times New Roman"/>
          <w:b w:val="1"/>
          <w:sz w:val="32"/>
          <w:szCs w:val="32"/>
          <w:rtl w:val="0"/>
        </w:rPr>
        <w:t xml:space="preserve">CONSENT</w:t>
      </w:r>
    </w:p>
    <w:p w:rsidR="00000000" w:rsidDel="00000000" w:rsidP="00000000" w:rsidRDefault="00000000" w:rsidRPr="00000000" w14:paraId="00000003">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outlines the risks, potential complications, and their estimated incidence associated with </w:t>
      </w:r>
      <w:r w:rsidDel="00000000" w:rsidR="00000000" w:rsidRPr="00000000">
        <w:rPr>
          <w:rFonts w:ascii="Times New Roman" w:cs="Times New Roman" w:eastAsia="Times New Roman" w:hAnsi="Times New Roman"/>
          <w:b w:val="1"/>
          <w:sz w:val="24"/>
          <w:szCs w:val="24"/>
          <w:rtl w:val="0"/>
        </w:rPr>
        <w:t xml:space="preserve">anterior cervical discectomy and fusion (ACDF)</w:t>
      </w:r>
      <w:r w:rsidDel="00000000" w:rsidR="00000000" w:rsidRPr="00000000">
        <w:rPr>
          <w:rFonts w:ascii="Times New Roman" w:cs="Times New Roman" w:eastAsia="Times New Roman" w:hAnsi="Times New Roman"/>
          <w:sz w:val="24"/>
          <w:szCs w:val="24"/>
          <w:rtl w:val="0"/>
        </w:rPr>
        <w:t xml:space="preserve">. The information is based on current evidence from large clinical series, meta-analyses, and systematic reviews.</w:t>
      </w:r>
    </w:p>
    <w:p w:rsidR="00000000" w:rsidDel="00000000" w:rsidP="00000000" w:rsidRDefault="00000000" w:rsidRPr="00000000" w14:paraId="00000004">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Common Risks and Their Estimated Incidence:</w:t>
      </w:r>
    </w:p>
    <w:p w:rsidR="00000000" w:rsidDel="00000000" w:rsidP="00000000" w:rsidRDefault="00000000" w:rsidRPr="00000000" w14:paraId="0000000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Dysphagia (difficulty swallowing):</w:t>
      </w:r>
      <w:r w:rsidDel="00000000" w:rsidR="00000000" w:rsidRPr="00000000">
        <w:rPr>
          <w:rFonts w:ascii="Times New Roman" w:cs="Times New Roman" w:eastAsia="Times New Roman" w:hAnsi="Times New Roman"/>
          <w:sz w:val="24"/>
          <w:szCs w:val="24"/>
          <w:rtl w:val="0"/>
        </w:rPr>
        <w:t xml:space="preserve"> Occurs in approximately 3–17% of cases, with higher rates in multi-level fusions (up to 22–45 per 1000 for 3+ levels). Most cases are transient, but persistent dysphagia is possible.</w:t>
      </w:r>
      <w:r w:rsidDel="00000000" w:rsidR="00000000" w:rsidRPr="00000000">
        <w:rPr>
          <w:rFonts w:ascii="Times New Roman" w:cs="Times New Roman" w:eastAsia="Times New Roman" w:hAnsi="Times New Roman"/>
          <w:color w:val="0000ff"/>
          <w:sz w:val="24"/>
          <w:szCs w:val="24"/>
          <w:rtl w:val="0"/>
        </w:rPr>
        <w:t xml:space="preserve">[1][2][3][4][5][6]</w:t>
      </w:r>
    </w:p>
    <w:p w:rsidR="00000000" w:rsidDel="00000000" w:rsidP="00000000" w:rsidRDefault="00000000" w:rsidRPr="00000000" w14:paraId="0000000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Hoarseness (voice changes):</w:t>
      </w:r>
      <w:r w:rsidDel="00000000" w:rsidR="00000000" w:rsidRPr="00000000">
        <w:rPr>
          <w:rFonts w:ascii="Times New Roman" w:cs="Times New Roman" w:eastAsia="Times New Roman" w:hAnsi="Times New Roman"/>
          <w:sz w:val="24"/>
          <w:szCs w:val="24"/>
          <w:rtl w:val="0"/>
        </w:rPr>
        <w:t xml:space="preserve"> Incidence ranges from 1–5%, often due to recurrent laryngeal nerve irritation or palsy. Most cases resolve, but permanent changes are rare.</w:t>
      </w:r>
      <w:r w:rsidDel="00000000" w:rsidR="00000000" w:rsidRPr="00000000">
        <w:rPr>
          <w:rFonts w:ascii="Times New Roman" w:cs="Times New Roman" w:eastAsia="Times New Roman" w:hAnsi="Times New Roman"/>
          <w:color w:val="0000ff"/>
          <w:sz w:val="24"/>
          <w:szCs w:val="24"/>
          <w:rtl w:val="0"/>
        </w:rPr>
        <w:t xml:space="preserve">[1][3][4][6]</w:t>
      </w:r>
    </w:p>
    <w:p w:rsidR="00000000" w:rsidDel="00000000" w:rsidP="00000000" w:rsidRDefault="00000000" w:rsidRPr="00000000" w14:paraId="0000000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Hematoma (bleeding/neck swelling):</w:t>
      </w:r>
      <w:r w:rsidDel="00000000" w:rsidR="00000000" w:rsidRPr="00000000">
        <w:rPr>
          <w:rFonts w:ascii="Times New Roman" w:cs="Times New Roman" w:eastAsia="Times New Roman" w:hAnsi="Times New Roman"/>
          <w:sz w:val="24"/>
          <w:szCs w:val="24"/>
          <w:rtl w:val="0"/>
        </w:rPr>
        <w:t xml:space="preserve"> Occurs in 0.1–5.6% of cases. Hematoma may require urgent intervention if airway compromise develops.</w:t>
      </w:r>
      <w:r w:rsidDel="00000000" w:rsidR="00000000" w:rsidRPr="00000000">
        <w:rPr>
          <w:rFonts w:ascii="Times New Roman" w:cs="Times New Roman" w:eastAsia="Times New Roman" w:hAnsi="Times New Roman"/>
          <w:color w:val="0000ff"/>
          <w:sz w:val="24"/>
          <w:szCs w:val="24"/>
          <w:rtl w:val="0"/>
        </w:rPr>
        <w:t xml:space="preserve">[1][2][3][4][6]</w:t>
      </w:r>
    </w:p>
    <w:p w:rsidR="00000000" w:rsidDel="00000000" w:rsidP="00000000" w:rsidRDefault="00000000" w:rsidRPr="00000000" w14:paraId="0000000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Superficial wound infection:</w:t>
      </w:r>
      <w:r w:rsidDel="00000000" w:rsidR="00000000" w:rsidRPr="00000000">
        <w:rPr>
          <w:rFonts w:ascii="Times New Roman" w:cs="Times New Roman" w:eastAsia="Times New Roman" w:hAnsi="Times New Roman"/>
          <w:sz w:val="24"/>
          <w:szCs w:val="24"/>
          <w:rtl w:val="0"/>
        </w:rPr>
        <w:t xml:space="preserve"> Reported in 0.1–2.8% of cases. Deep infection is rare.</w:t>
      </w:r>
      <w:r w:rsidDel="00000000" w:rsidR="00000000" w:rsidRPr="00000000">
        <w:rPr>
          <w:rFonts w:ascii="Times New Roman" w:cs="Times New Roman" w:eastAsia="Times New Roman" w:hAnsi="Times New Roman"/>
          <w:color w:val="0000ff"/>
          <w:sz w:val="24"/>
          <w:szCs w:val="24"/>
          <w:rtl w:val="0"/>
        </w:rPr>
        <w:t xml:space="preserve">[1][3][4][6]</w:t>
      </w:r>
    </w:p>
    <w:p w:rsidR="00000000" w:rsidDel="00000000" w:rsidP="00000000" w:rsidRDefault="00000000" w:rsidRPr="00000000" w14:paraId="00000009">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Neurologic complications (new or worsened deficit, C5 palsy):</w:t>
      </w:r>
      <w:r w:rsidDel="00000000" w:rsidR="00000000" w:rsidRPr="00000000">
        <w:rPr>
          <w:rFonts w:ascii="Times New Roman" w:cs="Times New Roman" w:eastAsia="Times New Roman" w:hAnsi="Times New Roman"/>
          <w:sz w:val="24"/>
          <w:szCs w:val="24"/>
          <w:rtl w:val="0"/>
        </w:rPr>
        <w:t xml:space="preserve"> Incidence of new neurologic deficit is 0.05–0.4%. C5 palsy occurs in 2–5% of cervical myelopathy cases, but is less common after ACDF (about 2%).</w:t>
      </w:r>
      <w:r w:rsidDel="00000000" w:rsidR="00000000" w:rsidRPr="00000000">
        <w:rPr>
          <w:rFonts w:ascii="Times New Roman" w:cs="Times New Roman" w:eastAsia="Times New Roman" w:hAnsi="Times New Roman"/>
          <w:color w:val="0000ff"/>
          <w:sz w:val="24"/>
          <w:szCs w:val="24"/>
          <w:rtl w:val="0"/>
        </w:rPr>
        <w:t xml:space="preserve">[4][7][8]</w:t>
      </w:r>
    </w:p>
    <w:p w:rsidR="00000000" w:rsidDel="00000000" w:rsidP="00000000" w:rsidRDefault="00000000" w:rsidRPr="00000000" w14:paraId="0000000A">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Dural tear (cerebrospinal fluid leak):</w:t>
      </w:r>
      <w:r w:rsidDel="00000000" w:rsidR="00000000" w:rsidRPr="00000000">
        <w:rPr>
          <w:rFonts w:ascii="Times New Roman" w:cs="Times New Roman" w:eastAsia="Times New Roman" w:hAnsi="Times New Roman"/>
          <w:sz w:val="24"/>
          <w:szCs w:val="24"/>
          <w:rtl w:val="0"/>
        </w:rPr>
        <w:t xml:space="preserve"> Occurs in 0.5–1.9% of cases.</w:t>
      </w:r>
      <w:r w:rsidDel="00000000" w:rsidR="00000000" w:rsidRPr="00000000">
        <w:rPr>
          <w:rFonts w:ascii="Times New Roman" w:cs="Times New Roman" w:eastAsia="Times New Roman" w:hAnsi="Times New Roman"/>
          <w:color w:val="0000ff"/>
          <w:sz w:val="24"/>
          <w:szCs w:val="24"/>
          <w:rtl w:val="0"/>
        </w:rPr>
        <w:t xml:space="preserve">[1][3][4]</w:t>
      </w:r>
    </w:p>
    <w:p w:rsidR="00000000" w:rsidDel="00000000" w:rsidP="00000000" w:rsidRDefault="00000000" w:rsidRPr="00000000" w14:paraId="0000000B">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Reoperation:</w:t>
      </w:r>
      <w:r w:rsidDel="00000000" w:rsidR="00000000" w:rsidRPr="00000000">
        <w:rPr>
          <w:rFonts w:ascii="Times New Roman" w:cs="Times New Roman" w:eastAsia="Times New Roman" w:hAnsi="Times New Roman"/>
          <w:sz w:val="24"/>
          <w:szCs w:val="24"/>
          <w:rtl w:val="0"/>
        </w:rPr>
        <w:t xml:space="preserve"> Early reoperation (within 90 days) occurs in 2–5.6% of cases, most commonly for hematoma or hardware issues. Late reoperation (after 90 days) is often due to adjacent segment disease or pseudarthrosis.</w:t>
      </w:r>
      <w:r w:rsidDel="00000000" w:rsidR="00000000" w:rsidRPr="00000000">
        <w:rPr>
          <w:rFonts w:ascii="Times New Roman" w:cs="Times New Roman" w:eastAsia="Times New Roman" w:hAnsi="Times New Roman"/>
          <w:color w:val="0000ff"/>
          <w:sz w:val="24"/>
          <w:szCs w:val="24"/>
          <w:rtl w:val="0"/>
        </w:rPr>
        <w:t xml:space="preserve">[6][9]</w:t>
      </w:r>
    </w:p>
    <w:p w:rsidR="00000000" w:rsidDel="00000000" w:rsidP="00000000" w:rsidRDefault="00000000" w:rsidRPr="00000000" w14:paraId="0000000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Fusion failure (nonunion):</w:t>
      </w:r>
      <w:r w:rsidDel="00000000" w:rsidR="00000000" w:rsidRPr="00000000">
        <w:rPr>
          <w:rFonts w:ascii="Times New Roman" w:cs="Times New Roman" w:eastAsia="Times New Roman" w:hAnsi="Times New Roman"/>
          <w:sz w:val="24"/>
          <w:szCs w:val="24"/>
          <w:rtl w:val="0"/>
        </w:rPr>
        <w:t xml:space="preserve"> Symptomatic pseudarthrosis requiring revision occurs in 0.6–3.7% of cases.</w:t>
      </w:r>
      <w:r w:rsidDel="00000000" w:rsidR="00000000" w:rsidRPr="00000000">
        <w:rPr>
          <w:rFonts w:ascii="Times New Roman" w:cs="Times New Roman" w:eastAsia="Times New Roman" w:hAnsi="Times New Roman"/>
          <w:color w:val="0000ff"/>
          <w:sz w:val="24"/>
          <w:szCs w:val="24"/>
          <w:rtl w:val="0"/>
        </w:rPr>
        <w:t xml:space="preserve">[4][6][9]</w:t>
      </w:r>
    </w:p>
    <w:p w:rsidR="00000000" w:rsidDel="00000000" w:rsidP="00000000" w:rsidRDefault="00000000" w:rsidRPr="00000000" w14:paraId="0000000D">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Graft or hardware complications (subsidence, dislodgement):</w:t>
      </w:r>
      <w:r w:rsidDel="00000000" w:rsidR="00000000" w:rsidRPr="00000000">
        <w:rPr>
          <w:rFonts w:ascii="Times New Roman" w:cs="Times New Roman" w:eastAsia="Times New Roman" w:hAnsi="Times New Roman"/>
          <w:sz w:val="24"/>
          <w:szCs w:val="24"/>
          <w:rtl w:val="0"/>
        </w:rPr>
        <w:t xml:space="preserve"> Occur in 0.9–3.7% of cases.</w:t>
      </w:r>
      <w:r w:rsidDel="00000000" w:rsidR="00000000" w:rsidRPr="00000000">
        <w:rPr>
          <w:rFonts w:ascii="Times New Roman" w:cs="Times New Roman" w:eastAsia="Times New Roman" w:hAnsi="Times New Roman"/>
          <w:color w:val="0000ff"/>
          <w:sz w:val="24"/>
          <w:szCs w:val="24"/>
          <w:rtl w:val="0"/>
        </w:rPr>
        <w:t xml:space="preserve">[1][4][6]</w:t>
      </w:r>
    </w:p>
    <w:p w:rsidR="00000000" w:rsidDel="00000000" w:rsidP="00000000" w:rsidRDefault="00000000" w:rsidRPr="00000000" w14:paraId="0000000E">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Airway compromise:</w:t>
      </w:r>
      <w:r w:rsidDel="00000000" w:rsidR="00000000" w:rsidRPr="00000000">
        <w:rPr>
          <w:rFonts w:ascii="Times New Roman" w:cs="Times New Roman" w:eastAsia="Times New Roman" w:hAnsi="Times New Roman"/>
          <w:sz w:val="24"/>
          <w:szCs w:val="24"/>
          <w:rtl w:val="0"/>
        </w:rPr>
        <w:t xml:space="preserve"> Occurs in 0.1–0.75% of cases, may require urgent intervention.</w:t>
      </w:r>
      <w:r w:rsidDel="00000000" w:rsidR="00000000" w:rsidRPr="00000000">
        <w:rPr>
          <w:rFonts w:ascii="Times New Roman" w:cs="Times New Roman" w:eastAsia="Times New Roman" w:hAnsi="Times New Roman"/>
          <w:color w:val="0000ff"/>
          <w:sz w:val="24"/>
          <w:szCs w:val="24"/>
          <w:rtl w:val="0"/>
        </w:rPr>
        <w:t xml:space="preserve">[3][7][10]</w:t>
      </w:r>
    </w:p>
    <w:p w:rsidR="00000000" w:rsidDel="00000000" w:rsidP="00000000" w:rsidRDefault="00000000" w:rsidRPr="00000000" w14:paraId="0000000F">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Rare but Serious Risks:</w:t>
      </w:r>
    </w:p>
    <w:p w:rsidR="00000000" w:rsidDel="00000000" w:rsidP="00000000" w:rsidRDefault="00000000" w:rsidRPr="00000000" w14:paraId="0000001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Esophageal injury/perforation:</w:t>
      </w:r>
      <w:r w:rsidDel="00000000" w:rsidR="00000000" w:rsidRPr="00000000">
        <w:rPr>
          <w:rFonts w:ascii="Times New Roman" w:cs="Times New Roman" w:eastAsia="Times New Roman" w:hAnsi="Times New Roman"/>
          <w:sz w:val="24"/>
          <w:szCs w:val="24"/>
          <w:rtl w:val="0"/>
        </w:rPr>
        <w:t xml:space="preserve"> Incidence is 0.1–0.3%. May require surgical repair and can be life-threatening.</w:t>
      </w:r>
      <w:r w:rsidDel="00000000" w:rsidR="00000000" w:rsidRPr="00000000">
        <w:rPr>
          <w:rFonts w:ascii="Times New Roman" w:cs="Times New Roman" w:eastAsia="Times New Roman" w:hAnsi="Times New Roman"/>
          <w:color w:val="0000ff"/>
          <w:sz w:val="24"/>
          <w:szCs w:val="24"/>
          <w:rtl w:val="0"/>
        </w:rPr>
        <w:t xml:space="preserve">[1][3][10]</w:t>
      </w:r>
    </w:p>
    <w:p w:rsidR="00000000" w:rsidDel="00000000" w:rsidP="00000000" w:rsidRDefault="00000000" w:rsidRPr="00000000" w14:paraId="00000011">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Vertebral artery injury:</w:t>
      </w:r>
      <w:r w:rsidDel="00000000" w:rsidR="00000000" w:rsidRPr="00000000">
        <w:rPr>
          <w:rFonts w:ascii="Times New Roman" w:cs="Times New Roman" w:eastAsia="Times New Roman" w:hAnsi="Times New Roman"/>
          <w:sz w:val="24"/>
          <w:szCs w:val="24"/>
          <w:rtl w:val="0"/>
        </w:rPr>
        <w:t xml:space="preserve"> Very rare, but can result in stroke or death.</w:t>
      </w:r>
      <w:r w:rsidDel="00000000" w:rsidR="00000000" w:rsidRPr="00000000">
        <w:rPr>
          <w:rFonts w:ascii="Times New Roman" w:cs="Times New Roman" w:eastAsia="Times New Roman" w:hAnsi="Times New Roman"/>
          <w:color w:val="0000ff"/>
          <w:sz w:val="24"/>
          <w:szCs w:val="24"/>
          <w:rtl w:val="0"/>
        </w:rPr>
        <w:t xml:space="preserve">[10]</w:t>
      </w:r>
    </w:p>
    <w:p w:rsidR="00000000" w:rsidDel="00000000" w:rsidP="00000000" w:rsidRDefault="00000000" w:rsidRPr="00000000" w14:paraId="00000012">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Spinal cord injury:</w:t>
      </w:r>
      <w:r w:rsidDel="00000000" w:rsidR="00000000" w:rsidRPr="00000000">
        <w:rPr>
          <w:rFonts w:ascii="Times New Roman" w:cs="Times New Roman" w:eastAsia="Times New Roman" w:hAnsi="Times New Roman"/>
          <w:sz w:val="24"/>
          <w:szCs w:val="24"/>
          <w:rtl w:val="0"/>
        </w:rPr>
        <w:t xml:space="preserve"> Extremely rare, but can result in paralysis.</w:t>
      </w:r>
      <w:r w:rsidDel="00000000" w:rsidR="00000000" w:rsidRPr="00000000">
        <w:rPr>
          <w:rFonts w:ascii="Times New Roman" w:cs="Times New Roman" w:eastAsia="Times New Roman" w:hAnsi="Times New Roman"/>
          <w:color w:val="0000ff"/>
          <w:sz w:val="24"/>
          <w:szCs w:val="24"/>
          <w:rtl w:val="0"/>
        </w:rPr>
        <w:t xml:space="preserve">[10]</w:t>
      </w:r>
    </w:p>
    <w:p w:rsidR="00000000" w:rsidDel="00000000" w:rsidP="00000000" w:rsidRDefault="00000000" w:rsidRPr="00000000" w14:paraId="00000013">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Death:</w:t>
      </w:r>
      <w:r w:rsidDel="00000000" w:rsidR="00000000" w:rsidRPr="00000000">
        <w:rPr>
          <w:rFonts w:ascii="Times New Roman" w:cs="Times New Roman" w:eastAsia="Times New Roman" w:hAnsi="Times New Roman"/>
          <w:sz w:val="24"/>
          <w:szCs w:val="24"/>
          <w:rtl w:val="0"/>
        </w:rPr>
        <w:t xml:space="preserve"> Reported mortality is 0.07–0.1%.</w:t>
      </w:r>
      <w:r w:rsidDel="00000000" w:rsidR="00000000" w:rsidRPr="00000000">
        <w:rPr>
          <w:rFonts w:ascii="Times New Roman" w:cs="Times New Roman" w:eastAsia="Times New Roman" w:hAnsi="Times New Roman"/>
          <w:color w:val="0000ff"/>
          <w:sz w:val="24"/>
          <w:szCs w:val="24"/>
          <w:rtl w:val="0"/>
        </w:rPr>
        <w:t xml:space="preserve">[1][3][7][8]</w:t>
      </w:r>
    </w:p>
    <w:p w:rsidR="00000000" w:rsidDel="00000000" w:rsidP="00000000" w:rsidRDefault="00000000" w:rsidRPr="00000000" w14:paraId="00000014">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Considerations:</w:t>
      </w:r>
    </w:p>
    <w:p w:rsidR="00000000" w:rsidDel="00000000" w:rsidP="00000000" w:rsidRDefault="00000000" w:rsidRPr="00000000" w14:paraId="00000015">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Systemic complications:</w:t>
      </w:r>
      <w:r w:rsidDel="00000000" w:rsidR="00000000" w:rsidRPr="00000000">
        <w:rPr>
          <w:rFonts w:ascii="Times New Roman" w:cs="Times New Roman" w:eastAsia="Times New Roman" w:hAnsi="Times New Roman"/>
          <w:sz w:val="24"/>
          <w:szCs w:val="24"/>
          <w:rtl w:val="0"/>
        </w:rPr>
        <w:t xml:space="preserve"> Medical complications (e.g., infection, pulmonary embolism, cardiac events) account for most unplanned readmissions (5–8% within 90 days).</w:t>
      </w:r>
      <w:r w:rsidDel="00000000" w:rsidR="00000000" w:rsidRPr="00000000">
        <w:rPr>
          <w:rFonts w:ascii="Times New Roman" w:cs="Times New Roman" w:eastAsia="Times New Roman" w:hAnsi="Times New Roman"/>
          <w:color w:val="0000ff"/>
          <w:sz w:val="24"/>
          <w:szCs w:val="24"/>
          <w:rtl w:val="0"/>
        </w:rPr>
        <w:t xml:space="preserve">[11]</w:t>
      </w:r>
    </w:p>
    <w:p w:rsidR="00000000" w:rsidDel="00000000" w:rsidP="00000000" w:rsidRDefault="00000000" w:rsidRPr="00000000" w14:paraId="00000016">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Risk factors:</w:t>
      </w:r>
      <w:r w:rsidDel="00000000" w:rsidR="00000000" w:rsidRPr="00000000">
        <w:rPr>
          <w:rFonts w:ascii="Times New Roman" w:cs="Times New Roman" w:eastAsia="Times New Roman" w:hAnsi="Times New Roman"/>
          <w:sz w:val="24"/>
          <w:szCs w:val="24"/>
          <w:rtl w:val="0"/>
        </w:rPr>
        <w:t xml:space="preserve"> Advanced age, multi-level fusion, comorbidities (e.g., kidney disease, anemia, diabetes, obesity), and use of bone morphogenetic protein (BMP) increase the risk of complications.</w:t>
      </w:r>
      <w:r w:rsidDel="00000000" w:rsidR="00000000" w:rsidRPr="00000000">
        <w:rPr>
          <w:rFonts w:ascii="Times New Roman" w:cs="Times New Roman" w:eastAsia="Times New Roman" w:hAnsi="Times New Roman"/>
          <w:color w:val="0000ff"/>
          <w:sz w:val="24"/>
          <w:szCs w:val="24"/>
          <w:rtl w:val="0"/>
        </w:rPr>
        <w:t xml:space="preserve">[4][5][6][7][11][12]</w:t>
      </w:r>
    </w:p>
    <w:p w:rsidR="00000000" w:rsidDel="00000000" w:rsidP="00000000" w:rsidRDefault="00000000" w:rsidRPr="00000000" w14:paraId="00000017">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Complication rates by number of levels:</w:t>
      </w:r>
      <w:r w:rsidDel="00000000" w:rsidR="00000000" w:rsidRPr="00000000">
        <w:rPr>
          <w:rFonts w:ascii="Times New Roman" w:cs="Times New Roman" w:eastAsia="Times New Roman" w:hAnsi="Times New Roman"/>
          <w:sz w:val="24"/>
          <w:szCs w:val="24"/>
          <w:rtl w:val="0"/>
        </w:rPr>
        <w:t xml:space="preserve"> Complication rates increase with the number of levels fused, with 1–2 level ACDF having lower rates (3–8%) and 3–4 level ACDF higher (up to 16–19%).</w:t>
      </w:r>
      <w:r w:rsidDel="00000000" w:rsidR="00000000" w:rsidRPr="00000000">
        <w:rPr>
          <w:rFonts w:ascii="Times New Roman" w:cs="Times New Roman" w:eastAsia="Times New Roman" w:hAnsi="Times New Roman"/>
          <w:color w:val="0000ff"/>
          <w:sz w:val="24"/>
          <w:szCs w:val="24"/>
          <w:rtl w:val="0"/>
        </w:rPr>
        <w:t xml:space="preserve">[1][2][3][6]</w:t>
      </w:r>
    </w:p>
    <w:p w:rsidR="00000000" w:rsidDel="00000000" w:rsidP="00000000" w:rsidRDefault="00000000" w:rsidRPr="00000000" w14:paraId="00000018">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Table of Key Risks:</w:t>
      </w:r>
    </w:p>
    <w:tbl>
      <w:tblPr>
        <w:tblStyle w:val="Table1"/>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295"/>
        <w:gridCol w:w="2925"/>
        <w:gridCol w:w="1560"/>
        <w:tblGridChange w:id="0">
          <w:tblGrid>
            <w:gridCol w:w="2205"/>
            <w:gridCol w:w="2295"/>
            <w:gridCol w:w="2925"/>
            <w:gridCol w:w="1560"/>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A">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Estimated Incidence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B">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Notes (if applicable)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r>
      <w:tr>
        <w:trPr>
          <w:cantSplit w:val="0"/>
          <w:trHeight w:val="124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Dysphagia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 (up to 22–45/1000 for 3+ levels)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F">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transient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[1][2][3][4][7][8]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1">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Hoarseness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3">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transient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[1][3][7][8]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5">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Hematoma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6">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7">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require urgent intervention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[1][2][3][7][8]</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9">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Wound infection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A">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0.1–2.8</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B">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Superficial &gt; deep</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[1][3][7][8]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D">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Neurologic deficit/C5 palsy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E">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0.05–0.4 / 2–5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F">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C5 palsy less common in ACDF</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[3][5][12]</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1">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Dural tear</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2">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3">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[1][3][7]</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5">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Reoperation (early/late)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6">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 / 3.6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hematoma/hardware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[6][8]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9">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Fusion failure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A">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0.6–3.7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B">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Symptomatic pseudarthrosis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[3][6][8]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D">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Graft/hardware complication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E">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0.9–3.7</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3F">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Subsidence/dislodgement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0">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[1][3][8]</w:t>
            </w:r>
          </w:p>
        </w:tc>
      </w:tr>
      <w:tr>
        <w:trPr>
          <w:cantSplit w:val="0"/>
          <w:trHeight w:val="9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1">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Airway compromise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2">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0.1–0.75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3">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require urgent intervention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4">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[5][7][10]</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Esophageal injury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be life-threatening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[1][7][10]</w:t>
            </w:r>
          </w:p>
        </w:tc>
      </w:tr>
      <w:tr>
        <w:trPr>
          <w:cantSplit w:val="0"/>
          <w:trHeight w:val="69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0.07–0.1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200" w:line="301.09090909090907"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[1][5][7][12]</w:t>
            </w:r>
          </w:p>
        </w:tc>
      </w:tr>
    </w:tbl>
    <w:p w:rsidR="00000000" w:rsidDel="00000000" w:rsidP="00000000" w:rsidRDefault="00000000" w:rsidRPr="00000000" w14:paraId="0000004D">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Acknowledgment:</w:t>
      </w:r>
    </w:p>
    <w:p w:rsidR="00000000" w:rsidDel="00000000" w:rsidP="00000000" w:rsidRDefault="00000000" w:rsidRPr="00000000" w14:paraId="0000004E">
      <w:pPr>
        <w:spacing w:after="200" w:line="301.0909090909090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below, the patient acknowledges understanding of the above risks, their estimated incidence, and the potential for both common and rare complications associated with anterior cervical discectomy and fusion. All questions have been answered to the patient's satisfaction.</w:t>
      </w:r>
    </w:p>
    <w:p w:rsidR="00000000" w:rsidDel="00000000" w:rsidP="00000000" w:rsidRDefault="00000000" w:rsidRPr="00000000" w14:paraId="0000004F">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Signature: __________________________  Date: _________</w:t>
      </w:r>
    </w:p>
    <w:p w:rsidR="00000000" w:rsidDel="00000000" w:rsidP="00000000" w:rsidRDefault="00000000" w:rsidRPr="00000000" w14:paraId="00000050">
      <w:pPr>
        <w:spacing w:after="200" w:line="301.09090909090907"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Patient Name: _____________________________  DOB:_________</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Style w:val="Heading1"/>
        <w:keepNext w:val="0"/>
        <w:keepLines w:val="0"/>
        <w:spacing w:after="280" w:before="480" w:line="191.9997391304348" w:lineRule="auto"/>
        <w:rPr>
          <w:rFonts w:ascii="Times New Roman" w:cs="Times New Roman" w:eastAsia="Times New Roman" w:hAnsi="Times New Roman"/>
          <w:b w:val="1"/>
          <w:sz w:val="30"/>
          <w:szCs w:val="30"/>
        </w:rPr>
      </w:pPr>
      <w:bookmarkStart w:colFirst="0" w:colLast="0" w:name="_xypjknn01i5x" w:id="2"/>
      <w:bookmarkEnd w:id="2"/>
      <w:r w:rsidDel="00000000" w:rsidR="00000000" w:rsidRPr="00000000">
        <w:rPr>
          <w:rFonts w:ascii="Times New Roman" w:cs="Times New Roman" w:eastAsia="Times New Roman" w:hAnsi="Times New Roman"/>
          <w:b w:val="1"/>
          <w:sz w:val="30"/>
          <w:szCs w:val="30"/>
          <w:rtl w:val="0"/>
        </w:rPr>
        <w:t xml:space="preserve">References</w:t>
      </w:r>
    </w:p>
    <w:p w:rsidR="00000000" w:rsidDel="00000000" w:rsidP="00000000" w:rsidRDefault="00000000" w:rsidRPr="00000000" w14:paraId="00000053">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2"/>
          <w:szCs w:val="12"/>
          <w:rtl w:val="0"/>
        </w:rPr>
        <w:t xml:space="preserve"> </w:t>
        <w:tab/>
      </w:r>
      <w:hyperlink r:id="rId6">
        <w:r w:rsidDel="00000000" w:rsidR="00000000" w:rsidRPr="00000000">
          <w:rPr>
            <w:rFonts w:ascii="Times New Roman" w:cs="Times New Roman" w:eastAsia="Times New Roman" w:hAnsi="Times New Roman"/>
            <w:color w:val="0000ff"/>
            <w:u w:val="single"/>
            <w:rtl w:val="0"/>
          </w:rPr>
          <w:t xml:space="preserve">Surgical Complications of Anterior Cervical Diskectomy and Fusion for Cervical Degenerative Disk Disease: A Single Surgeon's Experience of 1,576 Patients.</w:t>
        </w:r>
      </w:hyperlink>
      <w:r w:rsidDel="00000000" w:rsidR="00000000" w:rsidRPr="00000000">
        <w:rPr>
          <w:rFonts w:ascii="Times New Roman" w:cs="Times New Roman" w:eastAsia="Times New Roman" w:hAnsi="Times New Roman"/>
          <w:rtl w:val="0"/>
        </w:rPr>
        <w:t xml:space="preserve"> Nanda A, Sharma M, Sonig A, Ambekar S, Bollam P. World Neurosurgery. 2014;82(6):1380-7. doi:10.1016/j.wneu.2013.09.022.</w:t>
      </w:r>
    </w:p>
    <w:p w:rsidR="00000000" w:rsidDel="00000000" w:rsidP="00000000" w:rsidRDefault="00000000" w:rsidRPr="00000000" w14:paraId="00000054">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2"/>
          <w:szCs w:val="12"/>
          <w:rtl w:val="0"/>
        </w:rPr>
        <w:t xml:space="preserve"> </w:t>
        <w:tab/>
      </w:r>
      <w:hyperlink r:id="rId7">
        <w:r w:rsidDel="00000000" w:rsidR="00000000" w:rsidRPr="00000000">
          <w:rPr>
            <w:rFonts w:ascii="Times New Roman" w:cs="Times New Roman" w:eastAsia="Times New Roman" w:hAnsi="Times New Roman"/>
            <w:color w:val="0000ff"/>
            <w:u w:val="single"/>
            <w:rtl w:val="0"/>
          </w:rPr>
          <w:t xml:space="preserve">Four-Level ACDF Surgical Series 2000-2022: A Systematic Review of Clinical and Radiological Outcomes and Complications.</w:t>
        </w:r>
      </w:hyperlink>
      <w:r w:rsidDel="00000000" w:rsidR="00000000" w:rsidRPr="00000000">
        <w:rPr>
          <w:rFonts w:ascii="Times New Roman" w:cs="Times New Roman" w:eastAsia="Times New Roman" w:hAnsi="Times New Roman"/>
          <w:rtl w:val="0"/>
        </w:rPr>
        <w:t xml:space="preserve"> Arnautovic A, Mijares J, Begagić E, Ahmetspahić A, Pojskić M. British Journal of Neurosurgery. 2024;:1-12. doi:10.1080/02688697.2024.2337020.</w:t>
      </w:r>
    </w:p>
    <w:p w:rsidR="00000000" w:rsidDel="00000000" w:rsidP="00000000" w:rsidRDefault="00000000" w:rsidRPr="00000000" w14:paraId="00000055">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2"/>
          <w:szCs w:val="12"/>
          <w:rtl w:val="0"/>
        </w:rPr>
        <w:t xml:space="preserve"> </w:t>
        <w:tab/>
      </w:r>
      <w:hyperlink r:id="rId8">
        <w:r w:rsidDel="00000000" w:rsidR="00000000" w:rsidRPr="00000000">
          <w:rPr>
            <w:rFonts w:ascii="Times New Roman" w:cs="Times New Roman" w:eastAsia="Times New Roman" w:hAnsi="Times New Roman"/>
            <w:color w:val="0000ff"/>
            <w:u w:val="single"/>
            <w:rtl w:val="0"/>
          </w:rPr>
          <w:t xml:space="preserve">Anterior Cervical Discectomy and Fusion Associated Complications.</w:t>
        </w:r>
      </w:hyperlink>
      <w:r w:rsidDel="00000000" w:rsidR="00000000" w:rsidRPr="00000000">
        <w:rPr>
          <w:rFonts w:ascii="Times New Roman" w:cs="Times New Roman" w:eastAsia="Times New Roman" w:hAnsi="Times New Roman"/>
          <w:rtl w:val="0"/>
        </w:rPr>
        <w:t xml:space="preserve"> Fountas KN, Kapsalaki EZ, Nikolakakos LG, et al. Spine. 2007;32(21):2310-7. doi:10.1097/BRS.0b013e318154c57e.</w:t>
      </w:r>
    </w:p>
    <w:p w:rsidR="00000000" w:rsidDel="00000000" w:rsidP="00000000" w:rsidRDefault="00000000" w:rsidRPr="00000000" w14:paraId="00000056">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2"/>
          <w:szCs w:val="12"/>
          <w:rtl w:val="0"/>
        </w:rPr>
        <w:t xml:space="preserve"> </w:t>
        <w:tab/>
      </w:r>
      <w:hyperlink r:id="rId9">
        <w:r w:rsidDel="00000000" w:rsidR="00000000" w:rsidRPr="00000000">
          <w:rPr>
            <w:rFonts w:ascii="Times New Roman" w:cs="Times New Roman" w:eastAsia="Times New Roman" w:hAnsi="Times New Roman"/>
            <w:color w:val="0000ff"/>
            <w:u w:val="single"/>
            <w:rtl w:val="0"/>
          </w:rPr>
          <w:t xml:space="preserve">Prevalence of Complications After Surgery in Treatment for Cervical Compressive Myelopathy: A Meta-Analysis for Last Decade.</w:t>
        </w:r>
      </w:hyperlink>
      <w:r w:rsidDel="00000000" w:rsidR="00000000" w:rsidRPr="00000000">
        <w:rPr>
          <w:rFonts w:ascii="Times New Roman" w:cs="Times New Roman" w:eastAsia="Times New Roman" w:hAnsi="Times New Roman"/>
          <w:rtl w:val="0"/>
        </w:rPr>
        <w:t xml:space="preserve"> Wang T, Tian XM, Liu SK, et al. Medicine. 2017;96(12):e6421. doi:10.1097/MD.0000000000006421.</w:t>
      </w:r>
    </w:p>
    <w:p w:rsidR="00000000" w:rsidDel="00000000" w:rsidP="00000000" w:rsidRDefault="00000000" w:rsidRPr="00000000" w14:paraId="00000057">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2"/>
          <w:szCs w:val="12"/>
          <w:rtl w:val="0"/>
        </w:rPr>
        <w:t xml:space="preserve"> </w:t>
        <w:tab/>
      </w:r>
      <w:hyperlink r:id="rId10">
        <w:r w:rsidDel="00000000" w:rsidR="00000000" w:rsidRPr="00000000">
          <w:rPr>
            <w:rFonts w:ascii="Times New Roman" w:cs="Times New Roman" w:eastAsia="Times New Roman" w:hAnsi="Times New Roman"/>
            <w:color w:val="0000ff"/>
            <w:u w:val="single"/>
            <w:rtl w:val="0"/>
          </w:rPr>
          <w:t xml:space="preserve">Incidence and Risk Factors for Dysphagia After Anterior Cervical Fusion.</w:t>
        </w:r>
      </w:hyperlink>
      <w:r w:rsidDel="00000000" w:rsidR="00000000" w:rsidRPr="00000000">
        <w:rPr>
          <w:rFonts w:ascii="Times New Roman" w:cs="Times New Roman" w:eastAsia="Times New Roman" w:hAnsi="Times New Roman"/>
          <w:rtl w:val="0"/>
        </w:rPr>
        <w:t xml:space="preserve"> Singh K, Marquez-Lara A, Nandyala SV, Patel AA, Fineberg SJ. Spine. 2013;38(21):1820-5. doi:10.1097/BRS.0b013e3182a3dbda.</w:t>
      </w:r>
    </w:p>
    <w:p w:rsidR="00000000" w:rsidDel="00000000" w:rsidP="00000000" w:rsidRDefault="00000000" w:rsidRPr="00000000" w14:paraId="00000058">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2"/>
          <w:szCs w:val="12"/>
          <w:rtl w:val="0"/>
        </w:rPr>
        <w:t xml:space="preserve"> </w:t>
        <w:tab/>
      </w:r>
      <w:hyperlink r:id="rId11">
        <w:r w:rsidDel="00000000" w:rsidR="00000000" w:rsidRPr="00000000">
          <w:rPr>
            <w:rFonts w:ascii="Times New Roman" w:cs="Times New Roman" w:eastAsia="Times New Roman" w:hAnsi="Times New Roman"/>
            <w:color w:val="0000ff"/>
            <w:u w:val="single"/>
            <w:rtl w:val="0"/>
          </w:rPr>
          <w:t xml:space="preserve">Retrospective Single-Surgeon Study of 1123 Consecutive Cases of Anterior Cervical Discectomy and Fusion: A Comparison of Clinical Outcome Parameters, Complication Rates, and Costs Between Outpatient and Inpatient Surgery Groups, With a Literature Review.</w:t>
        </w:r>
      </w:hyperlink>
      <w:r w:rsidDel="00000000" w:rsidR="00000000" w:rsidRPr="00000000">
        <w:rPr>
          <w:rFonts w:ascii="Times New Roman" w:cs="Times New Roman" w:eastAsia="Times New Roman" w:hAnsi="Times New Roman"/>
          <w:rtl w:val="0"/>
        </w:rPr>
        <w:t xml:space="preserve"> Mullins J, Pojskić M, Boop FA, Arnautović KI. Journal of Neurosurgery. Spine. 2018;28(6):630-641. doi:10.3171/2017.10.SPINE17938.</w:t>
      </w:r>
    </w:p>
    <w:p w:rsidR="00000000" w:rsidDel="00000000" w:rsidP="00000000" w:rsidRDefault="00000000" w:rsidRPr="00000000" w14:paraId="00000059">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2"/>
          <w:szCs w:val="12"/>
          <w:rtl w:val="0"/>
        </w:rPr>
        <w:t xml:space="preserve"> </w:t>
        <w:tab/>
      </w:r>
      <w:hyperlink r:id="rId12">
        <w:r w:rsidDel="00000000" w:rsidR="00000000" w:rsidRPr="00000000">
          <w:rPr>
            <w:rFonts w:ascii="Times New Roman" w:cs="Times New Roman" w:eastAsia="Times New Roman" w:hAnsi="Times New Roman"/>
            <w:color w:val="0000ff"/>
            <w:u w:val="single"/>
            <w:rtl w:val="0"/>
          </w:rPr>
          <w:t xml:space="preserve">Predictors of Inpatient Morbidity and Mortality After 1- And 2-Level Anterior Cervical Diskectomy and Fusion Based on the National Inpatient Sample Database From 2006 Through 2010.</w:t>
        </w:r>
      </w:hyperlink>
      <w:r w:rsidDel="00000000" w:rsidR="00000000" w:rsidRPr="00000000">
        <w:rPr>
          <w:rFonts w:ascii="Times New Roman" w:cs="Times New Roman" w:eastAsia="Times New Roman" w:hAnsi="Times New Roman"/>
          <w:rtl w:val="0"/>
        </w:rPr>
        <w:t xml:space="preserve"> Rogerson A, Aidlen J, Mason A, et al. Orthopedics. 2021 Sep-Oct;44(5):e675-e681. doi:10.3928/01477447-20210817-08.</w:t>
      </w:r>
    </w:p>
    <w:p w:rsidR="00000000" w:rsidDel="00000000" w:rsidP="00000000" w:rsidRDefault="00000000" w:rsidRPr="00000000" w14:paraId="0000005A">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2"/>
          <w:szCs w:val="12"/>
          <w:rtl w:val="0"/>
        </w:rPr>
        <w:t xml:space="preserve"> </w:t>
        <w:tab/>
      </w:r>
      <w:hyperlink r:id="rId13">
        <w:r w:rsidDel="00000000" w:rsidR="00000000" w:rsidRPr="00000000">
          <w:rPr>
            <w:rFonts w:ascii="Times New Roman" w:cs="Times New Roman" w:eastAsia="Times New Roman" w:hAnsi="Times New Roman"/>
            <w:color w:val="0000ff"/>
            <w:u w:val="single"/>
            <w:rtl w:val="0"/>
          </w:rPr>
          <w:t xml:space="preserve">Perioperative Neurological Complications Following Anterior Cervical Discectomy and Fusion: Clinical Impact on 317,789 Patients From the National Inpatient Sample.</w:t>
        </w:r>
      </w:hyperlink>
      <w:r w:rsidDel="00000000" w:rsidR="00000000" w:rsidRPr="00000000">
        <w:rPr>
          <w:rFonts w:ascii="Times New Roman" w:cs="Times New Roman" w:eastAsia="Times New Roman" w:hAnsi="Times New Roman"/>
          <w:rtl w:val="0"/>
        </w:rPr>
        <w:t xml:space="preserve"> Kashkoush A, Mehta A, Agarwal N, et al. World Neurosurgery. 2019;128:e107-e115. doi:10.1016/j.wneu.2019.04.037.</w:t>
      </w:r>
    </w:p>
    <w:p w:rsidR="00000000" w:rsidDel="00000000" w:rsidP="00000000" w:rsidRDefault="00000000" w:rsidRPr="00000000" w14:paraId="0000005B">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12"/>
          <w:szCs w:val="12"/>
          <w:rtl w:val="0"/>
        </w:rPr>
        <w:t xml:space="preserve"> </w:t>
        <w:tab/>
      </w:r>
      <w:hyperlink r:id="rId14">
        <w:r w:rsidDel="00000000" w:rsidR="00000000" w:rsidRPr="00000000">
          <w:rPr>
            <w:rFonts w:ascii="Times New Roman" w:cs="Times New Roman" w:eastAsia="Times New Roman" w:hAnsi="Times New Roman"/>
            <w:color w:val="0000ff"/>
            <w:u w:val="single"/>
            <w:rtl w:val="0"/>
          </w:rPr>
          <w:t xml:space="preserve">Reoperation Rate After Anterior Cervical Discectomy and Fusion Using Standalone Cages in Degenerative Disease: A Study of 2,078 Cases.</w:t>
        </w:r>
      </w:hyperlink>
      <w:r w:rsidDel="00000000" w:rsidR="00000000" w:rsidRPr="00000000">
        <w:rPr>
          <w:rFonts w:ascii="Times New Roman" w:cs="Times New Roman" w:eastAsia="Times New Roman" w:hAnsi="Times New Roman"/>
          <w:rtl w:val="0"/>
        </w:rPr>
        <w:t xml:space="preserve"> Shousha M, Alhashash M, Allouch H, Boehm H. The Spine Journal : Official Journal of the North American Spine Society. 2019;19(12):2007-2012. doi:10.1016/j.spinee.2019.08.003.</w:t>
      </w:r>
    </w:p>
    <w:p w:rsidR="00000000" w:rsidDel="00000000" w:rsidP="00000000" w:rsidRDefault="00000000" w:rsidRPr="00000000" w14:paraId="0000005C">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sz w:val="12"/>
          <w:szCs w:val="12"/>
          <w:rtl w:val="0"/>
        </w:rPr>
        <w:t xml:space="preserve"> </w:t>
      </w:r>
      <w:hyperlink r:id="rId15">
        <w:r w:rsidDel="00000000" w:rsidR="00000000" w:rsidRPr="00000000">
          <w:rPr>
            <w:rFonts w:ascii="Times New Roman" w:cs="Times New Roman" w:eastAsia="Times New Roman" w:hAnsi="Times New Roman"/>
            <w:sz w:val="12"/>
            <w:szCs w:val="12"/>
            <w:rtl w:val="0"/>
          </w:rPr>
          <w:t xml:space="preserve"> </w:t>
        </w:r>
      </w:hyperlink>
      <w:hyperlink r:id="rId16">
        <w:r w:rsidDel="00000000" w:rsidR="00000000" w:rsidRPr="00000000">
          <w:rPr>
            <w:rFonts w:ascii="Times New Roman" w:cs="Times New Roman" w:eastAsia="Times New Roman" w:hAnsi="Times New Roman"/>
            <w:color w:val="0000ff"/>
            <w:u w:val="single"/>
            <w:rtl w:val="0"/>
          </w:rPr>
          <w:t xml:space="preserve">Adverse Events Associated With Anterior Cervical Spine Surgery.</w:t>
        </w:r>
      </w:hyperlink>
      <w:r w:rsidDel="00000000" w:rsidR="00000000" w:rsidRPr="00000000">
        <w:rPr>
          <w:rFonts w:ascii="Times New Roman" w:cs="Times New Roman" w:eastAsia="Times New Roman" w:hAnsi="Times New Roman"/>
          <w:rtl w:val="0"/>
        </w:rPr>
        <w:t xml:space="preserve"> Daniels AH, Riew KD, Yoo JU, et al. The Journal of the American Academy of Orthopaedic Surgeons. 2008;16(12):729-38. doi:10.5435/00124635-200812000-00005.</w:t>
      </w:r>
    </w:p>
    <w:p w:rsidR="00000000" w:rsidDel="00000000" w:rsidP="00000000" w:rsidRDefault="00000000" w:rsidRPr="00000000" w14:paraId="0000005D">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sz w:val="12"/>
          <w:szCs w:val="12"/>
          <w:rtl w:val="0"/>
        </w:rPr>
        <w:t xml:space="preserve"> </w:t>
      </w:r>
      <w:hyperlink r:id="rId17">
        <w:r w:rsidDel="00000000" w:rsidR="00000000" w:rsidRPr="00000000">
          <w:rPr>
            <w:rFonts w:ascii="Times New Roman" w:cs="Times New Roman" w:eastAsia="Times New Roman" w:hAnsi="Times New Roman"/>
            <w:sz w:val="12"/>
            <w:szCs w:val="12"/>
            <w:rtl w:val="0"/>
          </w:rPr>
          <w:t xml:space="preserve"> </w:t>
        </w:r>
      </w:hyperlink>
      <w:hyperlink r:id="rId18">
        <w:r w:rsidDel="00000000" w:rsidR="00000000" w:rsidRPr="00000000">
          <w:rPr>
            <w:rFonts w:ascii="Times New Roman" w:cs="Times New Roman" w:eastAsia="Times New Roman" w:hAnsi="Times New Roman"/>
            <w:color w:val="0000ff"/>
            <w:u w:val="single"/>
            <w:rtl w:val="0"/>
          </w:rPr>
          <w:t xml:space="preserve">30- And 90-Day Unplanned Readmission Rates, Causes, and Risk Factors After Cervical Fusion: A Single-Institution Analysis.</w:t>
        </w:r>
      </w:hyperlink>
      <w:r w:rsidDel="00000000" w:rsidR="00000000" w:rsidRPr="00000000">
        <w:rPr>
          <w:rFonts w:ascii="Times New Roman" w:cs="Times New Roman" w:eastAsia="Times New Roman" w:hAnsi="Times New Roman"/>
          <w:rtl w:val="0"/>
        </w:rPr>
        <w:t xml:space="preserve"> Zaki O, Jain N, Yu EM, Khan SN. Spine. 2019;44(11):762-769. doi:10.1097/BRS.0000000000002937.</w:t>
      </w:r>
    </w:p>
    <w:p w:rsidR="00000000" w:rsidDel="00000000" w:rsidP="00000000" w:rsidRDefault="00000000" w:rsidRPr="00000000" w14:paraId="0000005E">
      <w:pPr>
        <w:spacing w:line="301.09090909090907"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sz w:val="12"/>
          <w:szCs w:val="12"/>
          <w:rtl w:val="0"/>
        </w:rPr>
        <w:t xml:space="preserve"> </w:t>
      </w:r>
      <w:hyperlink r:id="rId19">
        <w:r w:rsidDel="00000000" w:rsidR="00000000" w:rsidRPr="00000000">
          <w:rPr>
            <w:rFonts w:ascii="Times New Roman" w:cs="Times New Roman" w:eastAsia="Times New Roman" w:hAnsi="Times New Roman"/>
            <w:sz w:val="12"/>
            <w:szCs w:val="12"/>
            <w:rtl w:val="0"/>
          </w:rPr>
          <w:t xml:space="preserve"> </w:t>
        </w:r>
      </w:hyperlink>
      <w:hyperlink r:id="rId20">
        <w:r w:rsidDel="00000000" w:rsidR="00000000" w:rsidRPr="00000000">
          <w:rPr>
            <w:rFonts w:ascii="Times New Roman" w:cs="Times New Roman" w:eastAsia="Times New Roman" w:hAnsi="Times New Roman"/>
            <w:color w:val="0000ff"/>
            <w:u w:val="single"/>
            <w:rtl w:val="0"/>
          </w:rPr>
          <w:t xml:space="preserve">Prevalence, Complications, and Hospital Charges Associated With Use of Bone-Morphogenetic Proteins in Spinal Fusion Procedures.</w:t>
        </w:r>
      </w:hyperlink>
      <w:r w:rsidDel="00000000" w:rsidR="00000000" w:rsidRPr="00000000">
        <w:rPr>
          <w:rFonts w:ascii="Times New Roman" w:cs="Times New Roman" w:eastAsia="Times New Roman" w:hAnsi="Times New Roman"/>
          <w:rtl w:val="0"/>
        </w:rPr>
        <w:t xml:space="preserve"> Cahill KS, Chi JH, Day A, Claus EB. JAMA. 2009;302(1):58-66. doi:10.1001/jama.2009.956.</w:t>
      </w:r>
    </w:p>
    <w:p w:rsidR="00000000" w:rsidDel="00000000" w:rsidP="00000000" w:rsidRDefault="00000000" w:rsidRPr="00000000" w14:paraId="0000005F">
      <w:pPr>
        <w:rPr>
          <w:color w:val="0e0e0e"/>
          <w:sz w:val="21"/>
          <w:szCs w:val="21"/>
        </w:rPr>
      </w:pP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5229225</wp:posOffset>
          </wp:positionH>
          <wp:positionV relativeFrom="paragraph">
            <wp:posOffset>-285749</wp:posOffset>
          </wp:positionV>
          <wp:extent cx="1414481" cy="437816"/>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4481" cy="43781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-628649</wp:posOffset>
          </wp:positionH>
          <wp:positionV relativeFrom="paragraph">
            <wp:posOffset>-219074</wp:posOffset>
          </wp:positionV>
          <wp:extent cx="1419225" cy="308527"/>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19225" cy="3085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jamanetwork.com/journals/jama/fullarticle/10.1001/jama.2009.956?utm_source=openevidence&amp;utm_medium=referral" TargetMode="External"/><Relationship Id="rId11" Type="http://schemas.openxmlformats.org/officeDocument/2006/relationships/hyperlink" Target="https://pubmed.ncbi.nlm.nih.gov/29600910" TargetMode="External"/><Relationship Id="rId22" Type="http://schemas.openxmlformats.org/officeDocument/2006/relationships/header" Target="header2.xml"/><Relationship Id="rId10" Type="http://schemas.openxmlformats.org/officeDocument/2006/relationships/hyperlink" Target="https://pubmed.ncbi.nlm.nih.gov/23873236" TargetMode="External"/><Relationship Id="rId21" Type="http://schemas.openxmlformats.org/officeDocument/2006/relationships/header" Target="header1.xml"/><Relationship Id="rId13" Type="http://schemas.openxmlformats.org/officeDocument/2006/relationships/hyperlink" Target="https://pubmed.ncbi.nlm.nih.gov/30980979" TargetMode="External"/><Relationship Id="rId24" Type="http://schemas.openxmlformats.org/officeDocument/2006/relationships/footer" Target="footer1.xml"/><Relationship Id="rId12" Type="http://schemas.openxmlformats.org/officeDocument/2006/relationships/hyperlink" Target="https://pubmed.ncbi.nlm.nih.gov/34590947"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28328846" TargetMode="External"/><Relationship Id="rId15" Type="http://schemas.openxmlformats.org/officeDocument/2006/relationships/hyperlink" Target="https://pubmed.ncbi.nlm.nih.gov/19056921" TargetMode="External"/><Relationship Id="rId14" Type="http://schemas.openxmlformats.org/officeDocument/2006/relationships/hyperlink" Target="https://pubmed.ncbi.nlm.nih.gov/31404654" TargetMode="External"/><Relationship Id="rId17" Type="http://schemas.openxmlformats.org/officeDocument/2006/relationships/hyperlink" Target="https://pubmed.ncbi.nlm.nih.gov/30475339" TargetMode="External"/><Relationship Id="rId16" Type="http://schemas.openxmlformats.org/officeDocument/2006/relationships/hyperlink" Target="https://pubmed.ncbi.nlm.nih.gov/19056921" TargetMode="External"/><Relationship Id="rId5" Type="http://schemas.openxmlformats.org/officeDocument/2006/relationships/styles" Target="styles.xml"/><Relationship Id="rId19" Type="http://schemas.openxmlformats.org/officeDocument/2006/relationships/hyperlink" Target="https://jamanetwork.com/journals/jama/fullarticle/10.1001/jama.2009.956?utm_source=openevidence&amp;utm_medium=referral" TargetMode="External"/><Relationship Id="rId6" Type="http://schemas.openxmlformats.org/officeDocument/2006/relationships/hyperlink" Target="https://pubmed.ncbi.nlm.nih.gov/24056095" TargetMode="External"/><Relationship Id="rId18" Type="http://schemas.openxmlformats.org/officeDocument/2006/relationships/hyperlink" Target="https://pubmed.ncbi.nlm.nih.gov/30475339" TargetMode="External"/><Relationship Id="rId7" Type="http://schemas.openxmlformats.org/officeDocument/2006/relationships/hyperlink" Target="https://pubmed.ncbi.nlm.nih.gov/38606493" TargetMode="External"/><Relationship Id="rId8" Type="http://schemas.openxmlformats.org/officeDocument/2006/relationships/hyperlink" Target="https://pubmed.ncbi.nlm.nih.gov/179065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