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F6" w:rsidRDefault="003313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entury Gothic" w:eastAsia="Century Gothic" w:hAnsi="Century Gothic" w:cs="Century Gothic"/>
          <w:b/>
          <w:i/>
          <w:sz w:val="28"/>
          <w:szCs w:val="28"/>
        </w:rPr>
      </w:pPr>
      <w:r>
        <w:rPr>
          <w:rFonts w:ascii="Century Gothic" w:eastAsia="Century Gothic" w:hAnsi="Century Gothic" w:cs="Century Gothic"/>
          <w:b/>
          <w:color w:val="000000"/>
          <w:sz w:val="36"/>
          <w:szCs w:val="36"/>
        </w:rPr>
        <w:t>PROGRAMME DE FORMATION</w:t>
      </w:r>
      <w:r>
        <w:rPr>
          <w:rFonts w:ascii="Century Gothic" w:eastAsia="Century Gothic" w:hAnsi="Century Gothic" w:cs="Century Gothic"/>
          <w:b/>
          <w:color w:val="000000"/>
          <w:sz w:val="28"/>
          <w:szCs w:val="28"/>
        </w:rPr>
        <w:br/>
      </w:r>
      <w:r>
        <w:rPr>
          <w:rFonts w:ascii="Century Gothic" w:eastAsia="Century Gothic" w:hAnsi="Century Gothic" w:cs="Century Gothic"/>
          <w:b/>
          <w:i/>
          <w:sz w:val="28"/>
          <w:szCs w:val="28"/>
        </w:rPr>
        <w:t>«</w:t>
      </w:r>
      <w:r>
        <w:rPr>
          <w:rFonts w:ascii="Arial" w:eastAsia="Arial" w:hAnsi="Arial" w:cs="Arial"/>
          <w:b/>
          <w:color w:val="18191B"/>
          <w:highlight w:val="white"/>
        </w:rPr>
        <w:t xml:space="preserve">Elaboration du budget </w:t>
      </w:r>
      <w:proofErr w:type="spellStart"/>
      <w:r>
        <w:rPr>
          <w:rFonts w:ascii="Arial" w:eastAsia="Arial" w:hAnsi="Arial" w:cs="Arial"/>
          <w:b/>
          <w:color w:val="18191B"/>
          <w:highlight w:val="white"/>
        </w:rPr>
        <w:t>d'une</w:t>
      </w:r>
      <w:proofErr w:type="spellEnd"/>
      <w:r>
        <w:rPr>
          <w:rFonts w:ascii="Arial" w:eastAsia="Arial" w:hAnsi="Arial" w:cs="Arial"/>
          <w:b/>
          <w:color w:val="18191B"/>
          <w:highlight w:val="white"/>
        </w:rPr>
        <w:t xml:space="preserve"> TPE/PME</w:t>
      </w:r>
      <w:r>
        <w:rPr>
          <w:rFonts w:ascii="Century Gothic" w:eastAsia="Century Gothic" w:hAnsi="Century Gothic" w:cs="Century Gothic"/>
          <w:b/>
          <w:i/>
          <w:sz w:val="28"/>
          <w:szCs w:val="28"/>
        </w:rPr>
        <w:t>»</w:t>
      </w:r>
    </w:p>
    <w:p w:rsidR="00B841F6" w:rsidRDefault="003313E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ab/>
      </w: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B841F6" w:rsidRDefault="003313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CENTRE DE FORMATION</w:t>
      </w: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B841F6" w:rsidRDefault="003313E3">
      <w:pPr>
        <w:ind w:left="720"/>
        <w:rPr>
          <w:rFonts w:ascii="Arial" w:eastAsia="Arial" w:hAnsi="Arial" w:cs="Arial"/>
          <w:color w:val="535353"/>
          <w:sz w:val="20"/>
          <w:szCs w:val="20"/>
        </w:rPr>
      </w:pPr>
      <w:r>
        <w:rPr>
          <w:rFonts w:ascii="Arial" w:eastAsia="Arial" w:hAnsi="Arial" w:cs="Arial"/>
          <w:color w:val="535353"/>
          <w:sz w:val="20"/>
          <w:szCs w:val="20"/>
        </w:rPr>
        <w:t xml:space="preserve">Raison </w:t>
      </w:r>
      <w:proofErr w:type="spellStart"/>
      <w:proofErr w:type="gramStart"/>
      <w:r>
        <w:rPr>
          <w:rFonts w:ascii="Arial" w:eastAsia="Arial" w:hAnsi="Arial" w:cs="Arial"/>
          <w:color w:val="535353"/>
          <w:sz w:val="20"/>
          <w:szCs w:val="20"/>
        </w:rPr>
        <w:t>sociale</w:t>
      </w:r>
      <w:proofErr w:type="spellEnd"/>
      <w:r>
        <w:rPr>
          <w:rFonts w:ascii="Arial" w:eastAsia="Arial" w:hAnsi="Arial" w:cs="Arial"/>
          <w:color w:val="535353"/>
          <w:sz w:val="20"/>
          <w:szCs w:val="20"/>
        </w:rPr>
        <w:t xml:space="preserve"> :</w:t>
      </w:r>
      <w:proofErr w:type="gramEnd"/>
      <w:r>
        <w:rPr>
          <w:rFonts w:ascii="Arial" w:eastAsia="Arial" w:hAnsi="Arial" w:cs="Arial"/>
          <w:color w:val="535353"/>
          <w:sz w:val="20"/>
          <w:szCs w:val="20"/>
        </w:rPr>
        <w:t xml:space="preserve"> SAS REGENERATE</w:t>
      </w:r>
    </w:p>
    <w:p w:rsidR="00B841F6" w:rsidRDefault="003313E3">
      <w:pPr>
        <w:ind w:left="720"/>
        <w:rPr>
          <w:rFonts w:ascii="Arial" w:eastAsia="Arial" w:hAnsi="Arial" w:cs="Arial"/>
          <w:color w:val="535353"/>
          <w:sz w:val="20"/>
          <w:szCs w:val="20"/>
        </w:rPr>
      </w:pPr>
      <w:proofErr w:type="spellStart"/>
      <w:r>
        <w:rPr>
          <w:rFonts w:ascii="Arial" w:eastAsia="Arial" w:hAnsi="Arial" w:cs="Arial"/>
          <w:color w:val="535353"/>
          <w:sz w:val="20"/>
          <w:szCs w:val="20"/>
        </w:rPr>
        <w:t>Adresse</w:t>
      </w:r>
      <w:proofErr w:type="spellEnd"/>
      <w:r>
        <w:rPr>
          <w:rFonts w:ascii="Arial" w:eastAsia="Arial" w:hAnsi="Arial" w:cs="Arial"/>
          <w:color w:val="535353"/>
          <w:sz w:val="20"/>
          <w:szCs w:val="20"/>
        </w:rPr>
        <w:t xml:space="preserve">: 147 rue </w:t>
      </w:r>
      <w:proofErr w:type="spellStart"/>
      <w:r>
        <w:rPr>
          <w:rFonts w:ascii="Arial" w:eastAsia="Arial" w:hAnsi="Arial" w:cs="Arial"/>
          <w:color w:val="535353"/>
          <w:sz w:val="20"/>
          <w:szCs w:val="20"/>
        </w:rPr>
        <w:t>Oberkampf</w:t>
      </w:r>
      <w:proofErr w:type="spellEnd"/>
      <w:r>
        <w:rPr>
          <w:rFonts w:ascii="Arial" w:eastAsia="Arial" w:hAnsi="Arial" w:cs="Arial"/>
          <w:color w:val="535353"/>
          <w:sz w:val="20"/>
          <w:szCs w:val="20"/>
        </w:rPr>
        <w:t xml:space="preserve"> </w:t>
      </w:r>
    </w:p>
    <w:p w:rsidR="00B841F6" w:rsidRDefault="003313E3">
      <w:pPr>
        <w:ind w:left="720"/>
        <w:rPr>
          <w:rFonts w:ascii="Arial" w:eastAsia="Arial" w:hAnsi="Arial" w:cs="Arial"/>
          <w:color w:val="535353"/>
          <w:sz w:val="20"/>
          <w:szCs w:val="20"/>
        </w:rPr>
      </w:pPr>
      <w:r>
        <w:rPr>
          <w:rFonts w:ascii="Arial" w:eastAsia="Arial" w:hAnsi="Arial" w:cs="Arial"/>
          <w:color w:val="535353"/>
          <w:sz w:val="20"/>
          <w:szCs w:val="20"/>
        </w:rPr>
        <w:t xml:space="preserve">Code postal: 75011 </w:t>
      </w:r>
      <w:r>
        <w:rPr>
          <w:rFonts w:ascii="Arial" w:eastAsia="Arial" w:hAnsi="Arial" w:cs="Arial"/>
          <w:color w:val="535353"/>
          <w:sz w:val="20"/>
          <w:szCs w:val="20"/>
        </w:rPr>
        <w:tab/>
      </w:r>
      <w:proofErr w:type="spellStart"/>
      <w:proofErr w:type="gramStart"/>
      <w:r>
        <w:rPr>
          <w:rFonts w:ascii="Arial" w:eastAsia="Arial" w:hAnsi="Arial" w:cs="Arial"/>
          <w:color w:val="535353"/>
          <w:sz w:val="20"/>
          <w:szCs w:val="20"/>
        </w:rPr>
        <w:t>Localité</w:t>
      </w:r>
      <w:proofErr w:type="spellEnd"/>
      <w:r>
        <w:rPr>
          <w:rFonts w:ascii="Arial" w:eastAsia="Arial" w:hAnsi="Arial" w:cs="Arial"/>
          <w:color w:val="535353"/>
          <w:sz w:val="20"/>
          <w:szCs w:val="20"/>
        </w:rPr>
        <w:t xml:space="preserve"> :</w:t>
      </w:r>
      <w:proofErr w:type="gramEnd"/>
      <w:r>
        <w:rPr>
          <w:rFonts w:ascii="Arial" w:eastAsia="Arial" w:hAnsi="Arial" w:cs="Arial"/>
          <w:color w:val="535353"/>
          <w:sz w:val="20"/>
          <w:szCs w:val="20"/>
        </w:rPr>
        <w:t xml:space="preserve"> PARIS</w:t>
      </w:r>
    </w:p>
    <w:p w:rsidR="00B841F6" w:rsidRDefault="003313E3">
      <w:pPr>
        <w:ind w:left="720"/>
        <w:rPr>
          <w:rFonts w:ascii="Arial" w:eastAsia="Arial" w:hAnsi="Arial" w:cs="Arial"/>
          <w:color w:val="535353"/>
          <w:sz w:val="20"/>
          <w:szCs w:val="20"/>
        </w:rPr>
      </w:pPr>
      <w:r>
        <w:rPr>
          <w:rFonts w:ascii="Arial" w:eastAsia="Arial" w:hAnsi="Arial" w:cs="Arial"/>
          <w:color w:val="535353"/>
          <w:sz w:val="20"/>
          <w:szCs w:val="20"/>
        </w:rPr>
        <w:t>Telephone: 06.68.62.02.60</w:t>
      </w:r>
      <w:r>
        <w:rPr>
          <w:rFonts w:ascii="Arial" w:eastAsia="Arial" w:hAnsi="Arial" w:cs="Arial"/>
          <w:color w:val="535353"/>
          <w:sz w:val="20"/>
          <w:szCs w:val="20"/>
        </w:rPr>
        <w:tab/>
        <w:t xml:space="preserve">Email: </w:t>
      </w:r>
      <w:proofErr w:type="spellStart"/>
      <w:r>
        <w:rPr>
          <w:rFonts w:ascii="Arial" w:eastAsia="Arial" w:hAnsi="Arial" w:cs="Arial"/>
          <w:color w:val="535353"/>
          <w:sz w:val="20"/>
          <w:szCs w:val="20"/>
        </w:rPr>
        <w:t>support@regenerate.education</w:t>
      </w:r>
      <w:proofErr w:type="spellEnd"/>
    </w:p>
    <w:p w:rsidR="00B841F6" w:rsidRDefault="003313E3">
      <w:pPr>
        <w:ind w:left="720"/>
        <w:rPr>
          <w:rFonts w:ascii="Arial" w:eastAsia="Arial" w:hAnsi="Arial" w:cs="Arial"/>
          <w:color w:val="535353"/>
          <w:sz w:val="20"/>
          <w:szCs w:val="20"/>
        </w:rPr>
      </w:pPr>
      <w:proofErr w:type="spellStart"/>
      <w:r>
        <w:rPr>
          <w:rFonts w:ascii="Arial" w:eastAsia="Arial" w:hAnsi="Arial" w:cs="Arial"/>
          <w:color w:val="535353"/>
          <w:sz w:val="20"/>
          <w:szCs w:val="20"/>
        </w:rPr>
        <w:t>Numéro</w:t>
      </w:r>
      <w:proofErr w:type="spellEnd"/>
      <w:r>
        <w:rPr>
          <w:rFonts w:ascii="Arial" w:eastAsia="Arial" w:hAnsi="Arial" w:cs="Arial"/>
          <w:color w:val="535353"/>
          <w:sz w:val="20"/>
          <w:szCs w:val="20"/>
        </w:rPr>
        <w:t xml:space="preserve"> SIRET: 84481894800011</w:t>
      </w:r>
    </w:p>
    <w:p w:rsidR="00B841F6" w:rsidRDefault="003313E3">
      <w:pPr>
        <w:ind w:left="720"/>
        <w:rPr>
          <w:rFonts w:ascii="Arial" w:eastAsia="Arial" w:hAnsi="Arial" w:cs="Arial"/>
          <w:color w:val="535353"/>
          <w:sz w:val="20"/>
          <w:szCs w:val="20"/>
        </w:rPr>
      </w:pPr>
      <w:r>
        <w:rPr>
          <w:rFonts w:ascii="Arial" w:eastAsia="Arial" w:hAnsi="Arial" w:cs="Arial"/>
          <w:color w:val="535353"/>
          <w:sz w:val="20"/>
          <w:szCs w:val="20"/>
        </w:rPr>
        <w:t xml:space="preserve">Nom de la </w:t>
      </w:r>
      <w:proofErr w:type="spellStart"/>
      <w:r>
        <w:rPr>
          <w:rFonts w:ascii="Arial" w:eastAsia="Arial" w:hAnsi="Arial" w:cs="Arial"/>
          <w:color w:val="535353"/>
          <w:sz w:val="20"/>
          <w:szCs w:val="20"/>
        </w:rPr>
        <w:t>personne</w:t>
      </w:r>
      <w:proofErr w:type="spellEnd"/>
      <w:r>
        <w:rPr>
          <w:rFonts w:ascii="Arial" w:eastAsia="Arial" w:hAnsi="Arial" w:cs="Arial"/>
          <w:color w:val="535353"/>
          <w:sz w:val="20"/>
          <w:szCs w:val="20"/>
        </w:rPr>
        <w:t xml:space="preserve"> à </w:t>
      </w:r>
      <w:proofErr w:type="spellStart"/>
      <w:r>
        <w:rPr>
          <w:rFonts w:ascii="Arial" w:eastAsia="Arial" w:hAnsi="Arial" w:cs="Arial"/>
          <w:color w:val="535353"/>
          <w:sz w:val="20"/>
          <w:szCs w:val="20"/>
        </w:rPr>
        <w:t>contacter</w:t>
      </w:r>
      <w:proofErr w:type="spellEnd"/>
      <w:r>
        <w:rPr>
          <w:rFonts w:ascii="Arial" w:eastAsia="Arial" w:hAnsi="Arial" w:cs="Arial"/>
          <w:color w:val="535353"/>
          <w:sz w:val="20"/>
          <w:szCs w:val="20"/>
        </w:rPr>
        <w:t xml:space="preserve">: James </w:t>
      </w:r>
      <w:proofErr w:type="spellStart"/>
      <w:r>
        <w:rPr>
          <w:rFonts w:ascii="Arial" w:eastAsia="Arial" w:hAnsi="Arial" w:cs="Arial"/>
          <w:color w:val="535353"/>
          <w:sz w:val="20"/>
          <w:szCs w:val="20"/>
        </w:rPr>
        <w:t>Nacass</w:t>
      </w:r>
      <w:proofErr w:type="spellEnd"/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</w:pP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B841F6" w:rsidRDefault="003313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</w:rPr>
      </w:pPr>
      <w:r>
        <w:rPr>
          <w:rFonts w:ascii="Century Gothic" w:eastAsia="Century Gothic" w:hAnsi="Century Gothic" w:cs="Century Gothic"/>
          <w:b/>
          <w:color w:val="000000"/>
        </w:rPr>
        <w:t>ACTION DE FORMATION</w:t>
      </w: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B841F6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  <w:proofErr w:type="gramStart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Intitule</w:t>
      </w:r>
      <w:r>
        <w:rPr>
          <w:rFonts w:ascii="Century Gothic" w:eastAsia="Century Gothic" w:hAnsi="Century Gothic" w:cs="Century Gothic"/>
          <w:color w:val="000000"/>
          <w:sz w:val="22"/>
          <w:szCs w:val="22"/>
        </w:rPr>
        <w:t>́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:</w:t>
      </w:r>
      <w:proofErr w:type="gramEnd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18191B"/>
          <w:highlight w:val="white"/>
        </w:rPr>
        <w:t xml:space="preserve">Elaboration du budget </w:t>
      </w:r>
      <w:proofErr w:type="spellStart"/>
      <w:r>
        <w:rPr>
          <w:rFonts w:ascii="Arial" w:eastAsia="Arial" w:hAnsi="Arial" w:cs="Arial"/>
          <w:b/>
          <w:color w:val="18191B"/>
          <w:highlight w:val="white"/>
        </w:rPr>
        <w:t>d'une</w:t>
      </w:r>
      <w:proofErr w:type="spellEnd"/>
      <w:r>
        <w:rPr>
          <w:rFonts w:ascii="Arial" w:eastAsia="Arial" w:hAnsi="Arial" w:cs="Arial"/>
          <w:b/>
          <w:color w:val="18191B"/>
          <w:highlight w:val="white"/>
        </w:rPr>
        <w:t xml:space="preserve"> TPE/PME</w:t>
      </w: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D</w:t>
      </w:r>
      <w:r w:rsidRPr="005849A2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 xml:space="preserve">escription et </w:t>
      </w:r>
      <w:proofErr w:type="spellStart"/>
      <w:proofErr w:type="gramStart"/>
      <w:r w:rsidRPr="005849A2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détails</w:t>
      </w:r>
      <w:proofErr w:type="spellEnd"/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:</w:t>
      </w:r>
      <w:proofErr w:type="gramEnd"/>
    </w:p>
    <w:p w:rsidR="00B841F6" w:rsidRPr="005849A2" w:rsidRDefault="003313E3">
      <w:pPr>
        <w:rPr>
          <w:rFonts w:ascii="Century Gothic" w:eastAsia="Century Gothic" w:hAnsi="Century Gothic" w:cs="Century Gothic"/>
          <w:sz w:val="20"/>
          <w:szCs w:val="20"/>
        </w:rPr>
      </w:pPr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Les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formateurs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intervenants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ont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une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compétence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et/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ou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expertise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reconnue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dans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le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domaine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de formation.</w:t>
      </w: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Objectifs</w:t>
      </w:r>
      <w:proofErr w:type="spellEnd"/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</w:t>
      </w:r>
      <w:proofErr w:type="gramStart"/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formation</w:t>
      </w:r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:</w:t>
      </w:r>
      <w:proofErr w:type="gramEnd"/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849A2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La formation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permet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valider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les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compétences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acquises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en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termes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d’élaboration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d’un budget TPE/PME,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afin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d’apporter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au</w:t>
      </w:r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x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dirigeants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et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créateurs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d’entreprises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concernés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une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analyse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et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compréhension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leurs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activités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par rapport à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leurs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impacts financiers. Elle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vous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apportera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aussi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un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outil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 pilotage et un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outil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vulgarisation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des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chiffres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souvent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difficiles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à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interpré</w:t>
      </w:r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ter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pour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une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meilleure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compréhension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et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une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meilleure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communication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auprès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des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différentes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parties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prenantes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. </w:t>
      </w: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proofErr w:type="spellStart"/>
      <w:proofErr w:type="gram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Durée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:</w:t>
      </w:r>
      <w:proofErr w:type="gramEnd"/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Century Gothic" w:eastAsia="Century Gothic" w:hAnsi="Century Gothic" w:cs="Century Gothic"/>
          <w:sz w:val="20"/>
          <w:szCs w:val="20"/>
        </w:rPr>
      </w:pPr>
      <w:r w:rsidRPr="005849A2">
        <w:rPr>
          <w:rFonts w:ascii="Century Gothic" w:eastAsia="Century Gothic" w:hAnsi="Century Gothic" w:cs="Century Gothic"/>
          <w:sz w:val="20"/>
          <w:szCs w:val="20"/>
        </w:rPr>
        <w:t>-21</w:t>
      </w:r>
      <w:r w:rsidRPr="005849A2">
        <w:rPr>
          <w:rFonts w:ascii="Century Gothic" w:eastAsia="Century Gothic" w:hAnsi="Century Gothic" w:cs="Century Gothic"/>
          <w:sz w:val="20"/>
          <w:szCs w:val="20"/>
        </w:rPr>
        <w:t>heures de formation</w:t>
      </w:r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en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télé-présentiel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sz w:val="20"/>
          <w:szCs w:val="20"/>
        </w:rPr>
      </w:pP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B841F6" w:rsidRPr="005849A2" w:rsidRDefault="003313E3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Modalité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proofErr w:type="gram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Pédagogique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:</w:t>
      </w:r>
      <w:proofErr w:type="gramEnd"/>
    </w:p>
    <w:p w:rsidR="00B841F6" w:rsidRPr="005849A2" w:rsidRDefault="003313E3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Formation </w:t>
      </w:r>
      <w:proofErr w:type="spellStart"/>
      <w:proofErr w:type="gramStart"/>
      <w:r w:rsidRPr="005849A2">
        <w:rPr>
          <w:rFonts w:ascii="Century Gothic" w:eastAsia="Century Gothic" w:hAnsi="Century Gothic" w:cs="Century Gothic"/>
          <w:sz w:val="20"/>
          <w:szCs w:val="20"/>
        </w:rPr>
        <w:t>entièrement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en</w:t>
      </w:r>
      <w:proofErr w:type="spellEnd"/>
      <w:proofErr w:type="gram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télé-présentiel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 sur zoom </w:t>
      </w:r>
    </w:p>
    <w:p w:rsidR="00B841F6" w:rsidRPr="005849A2" w:rsidRDefault="00B841F6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B841F6" w:rsidRPr="005849A2" w:rsidRDefault="003313E3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Modalité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d'assistance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technique et </w:t>
      </w: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pédagogique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(</w:t>
      </w: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en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cas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distanciel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ou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e-learning)</w:t>
      </w:r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: James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Nacass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hyperlink r:id="rId8">
        <w:r w:rsidRPr="005849A2">
          <w:rPr>
            <w:rFonts w:ascii="Century Gothic" w:eastAsia="Century Gothic" w:hAnsi="Century Gothic" w:cs="Century Gothic"/>
            <w:color w:val="1155CC"/>
            <w:sz w:val="20"/>
            <w:szCs w:val="20"/>
            <w:u w:val="single"/>
          </w:rPr>
          <w:t>support@regenerate.education</w:t>
        </w:r>
      </w:hyperlink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le support technique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s’engage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à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répondre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sous 24H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en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cas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besoin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>. Le Zoo</w:t>
      </w:r>
      <w:r w:rsidRPr="005849A2">
        <w:rPr>
          <w:rFonts w:ascii="Century Gothic" w:eastAsia="Century Gothic" w:hAnsi="Century Gothic" w:cs="Century Gothic"/>
          <w:sz w:val="20"/>
          <w:szCs w:val="20"/>
        </w:rPr>
        <w:t>m (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outils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="005849A2" w:rsidRPr="005849A2">
        <w:rPr>
          <w:rFonts w:ascii="Century Gothic" w:eastAsia="Century Gothic" w:hAnsi="Century Gothic" w:cs="Century Gothic"/>
          <w:sz w:val="20"/>
          <w:szCs w:val="20"/>
        </w:rPr>
        <w:t>visioconférence</w:t>
      </w:r>
      <w:proofErr w:type="spellEnd"/>
      <w:r w:rsidR="005849A2" w:rsidRPr="005849A2">
        <w:rPr>
          <w:rFonts w:ascii="Century Gothic" w:eastAsia="Century Gothic" w:hAnsi="Century Gothic" w:cs="Century Gothic"/>
          <w:sz w:val="20"/>
          <w:szCs w:val="20"/>
        </w:rPr>
        <w:t>) dispose</w:t>
      </w:r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d'un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contrôle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à </w:t>
      </w:r>
      <w:r w:rsidR="005849A2" w:rsidRPr="005849A2">
        <w:rPr>
          <w:rFonts w:ascii="Century Gothic" w:eastAsia="Century Gothic" w:hAnsi="Century Gothic" w:cs="Century Gothic"/>
          <w:sz w:val="20"/>
          <w:szCs w:val="20"/>
        </w:rPr>
        <w:t>distance.</w:t>
      </w:r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B841F6" w:rsidRPr="005849A2" w:rsidRDefault="00B841F6">
      <w:pPr>
        <w:jc w:val="both"/>
        <w:rPr>
          <w:rFonts w:ascii="Century Gothic" w:eastAsia="Century Gothic" w:hAnsi="Century Gothic" w:cs="Century Gothic"/>
          <w:color w:val="FF0000"/>
          <w:sz w:val="20"/>
          <w:szCs w:val="20"/>
        </w:rPr>
      </w:pPr>
    </w:p>
    <w:p w:rsidR="00B841F6" w:rsidRPr="005849A2" w:rsidRDefault="00B841F6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B841F6" w:rsidRPr="005849A2" w:rsidRDefault="003313E3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Modalités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délai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proofErr w:type="gram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d’accès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:</w:t>
      </w:r>
      <w:proofErr w:type="gramEnd"/>
    </w:p>
    <w:p w:rsidR="00B841F6" w:rsidRPr="005849A2" w:rsidRDefault="00B841F6">
      <w:pP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841F6" w:rsidRPr="005849A2" w:rsidRDefault="003313E3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lastRenderedPageBreak/>
        <w:t>Délai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variable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selon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les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financements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. Pour les formations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financées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par le CPF,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il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devra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s’écouler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au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moins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14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jours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entre la date de confirmation de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commande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de la formation et son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démarrage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effectif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(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délai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légal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rétractation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).</w:t>
      </w:r>
    </w:p>
    <w:p w:rsidR="00B841F6" w:rsidRPr="005849A2" w:rsidRDefault="00B841F6" w:rsidP="005849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E35C3D" w:rsidRDefault="003313E3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Modalités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spellStart"/>
      <w:proofErr w:type="gram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pédagogiques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Pr="005849A2">
        <w:rPr>
          <w:rFonts w:ascii="Century Gothic" w:eastAsia="Century Gothic" w:hAnsi="Century Gothic" w:cs="Century Gothic"/>
          <w:sz w:val="20"/>
          <w:szCs w:val="20"/>
        </w:rPr>
        <w:t>:</w:t>
      </w:r>
      <w:proofErr w:type="gram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:rsidR="00B841F6" w:rsidRPr="005849A2" w:rsidRDefault="003313E3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La formation se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déroule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sous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forme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proofErr w:type="gramStart"/>
      <w:r w:rsidRPr="005849A2">
        <w:rPr>
          <w:rFonts w:ascii="Century Gothic" w:eastAsia="Century Gothic" w:hAnsi="Century Gothic" w:cs="Century Gothic"/>
          <w:sz w:val="20"/>
          <w:szCs w:val="20"/>
        </w:rPr>
        <w:t>d'exposés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,</w:t>
      </w:r>
      <w:proofErr w:type="gram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textes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d'images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illustrées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>. (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basée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sur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une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méthode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active qui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associe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théorie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exercice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pratique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co</w:t>
      </w:r>
      <w:r w:rsidRPr="005849A2">
        <w:rPr>
          <w:rFonts w:ascii="Century Gothic" w:eastAsia="Century Gothic" w:hAnsi="Century Gothic" w:cs="Century Gothic"/>
          <w:sz w:val="20"/>
          <w:szCs w:val="20"/>
        </w:rPr>
        <w:t>ncret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sur des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exemples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pris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dans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le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domaine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d'une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société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 type SARL</w:t>
      </w: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4444"/>
          <w:sz w:val="20"/>
          <w:szCs w:val="20"/>
          <w:highlight w:val="white"/>
        </w:rPr>
      </w:pP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444444"/>
          <w:sz w:val="20"/>
          <w:szCs w:val="20"/>
          <w:highlight w:val="white"/>
        </w:rPr>
      </w:pPr>
    </w:p>
    <w:p w:rsidR="00B841F6" w:rsidRPr="005849A2" w:rsidRDefault="003313E3">
      <w:pPr>
        <w:rPr>
          <w:rFonts w:ascii="Century Gothic" w:eastAsia="Century Gothic" w:hAnsi="Century Gothic" w:cs="Century Gothic"/>
          <w:b/>
          <w:color w:val="444444"/>
          <w:sz w:val="20"/>
          <w:szCs w:val="20"/>
          <w:highlight w:val="white"/>
        </w:rPr>
      </w:pPr>
      <w:proofErr w:type="spellStart"/>
      <w:r w:rsidRPr="005849A2">
        <w:rPr>
          <w:rFonts w:ascii="Century Gothic" w:eastAsia="Century Gothic" w:hAnsi="Century Gothic" w:cs="Century Gothic"/>
          <w:b/>
          <w:color w:val="444444"/>
          <w:sz w:val="20"/>
          <w:szCs w:val="20"/>
          <w:highlight w:val="white"/>
        </w:rPr>
        <w:t>Compétences</w:t>
      </w:r>
      <w:proofErr w:type="spellEnd"/>
      <w:r w:rsidRPr="005849A2">
        <w:rPr>
          <w:rFonts w:ascii="Century Gothic" w:eastAsia="Century Gothic" w:hAnsi="Century Gothic" w:cs="Century Gothic"/>
          <w:b/>
          <w:color w:val="444444"/>
          <w:sz w:val="20"/>
          <w:szCs w:val="20"/>
          <w:highlight w:val="white"/>
        </w:rPr>
        <w:t xml:space="preserve"> </w:t>
      </w:r>
      <w:proofErr w:type="spellStart"/>
      <w:proofErr w:type="gramStart"/>
      <w:r w:rsidRPr="005849A2">
        <w:rPr>
          <w:rFonts w:ascii="Century Gothic" w:eastAsia="Century Gothic" w:hAnsi="Century Gothic" w:cs="Century Gothic"/>
          <w:b/>
          <w:color w:val="444444"/>
          <w:sz w:val="20"/>
          <w:szCs w:val="20"/>
          <w:highlight w:val="white"/>
        </w:rPr>
        <w:t>attestées</w:t>
      </w:r>
      <w:proofErr w:type="spellEnd"/>
      <w:r w:rsidRPr="005849A2">
        <w:rPr>
          <w:rFonts w:ascii="Century Gothic" w:eastAsia="Century Gothic" w:hAnsi="Century Gothic" w:cs="Century Gothic"/>
          <w:b/>
          <w:color w:val="444444"/>
          <w:sz w:val="20"/>
          <w:szCs w:val="20"/>
          <w:highlight w:val="white"/>
        </w:rPr>
        <w:t xml:space="preserve"> :</w:t>
      </w:r>
      <w:proofErr w:type="gramEnd"/>
      <w:r w:rsidRPr="005849A2">
        <w:rPr>
          <w:rFonts w:ascii="Century Gothic" w:eastAsia="Century Gothic" w:hAnsi="Century Gothic" w:cs="Century Gothic"/>
          <w:b/>
          <w:color w:val="444444"/>
          <w:sz w:val="20"/>
          <w:szCs w:val="20"/>
          <w:highlight w:val="white"/>
        </w:rPr>
        <w:t xml:space="preserve"> </w:t>
      </w:r>
    </w:p>
    <w:p w:rsidR="00B841F6" w:rsidRPr="005849A2" w:rsidRDefault="00B841F6">
      <w:pPr>
        <w:rPr>
          <w:rFonts w:ascii="Century Gothic" w:eastAsia="Century Gothic" w:hAnsi="Century Gothic" w:cs="Century Gothic"/>
          <w:b/>
          <w:color w:val="444444"/>
          <w:sz w:val="20"/>
          <w:szCs w:val="20"/>
          <w:highlight w:val="white"/>
        </w:rPr>
      </w:pPr>
    </w:p>
    <w:p w:rsidR="00B841F6" w:rsidRPr="005849A2" w:rsidRDefault="003313E3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Définir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mesurer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les entrées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financières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liées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à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une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organisation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cible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(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entreprise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– service –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projet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).</w:t>
      </w:r>
    </w:p>
    <w:p w:rsidR="00B841F6" w:rsidRPr="005849A2" w:rsidRDefault="003313E3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Définir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mesurer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les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dépenses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liées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à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une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organisation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cible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(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entreprise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– service –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projet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).</w:t>
      </w:r>
    </w:p>
    <w:p w:rsidR="00B841F6" w:rsidRPr="005849A2" w:rsidRDefault="003313E3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Définir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les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investissements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emprunts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bancaires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nécessaires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à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l’organisation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.</w:t>
      </w:r>
    </w:p>
    <w:p w:rsidR="00B841F6" w:rsidRPr="005849A2" w:rsidRDefault="003313E3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Définir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le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prévisionnel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trésorerie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.</w:t>
      </w:r>
    </w:p>
    <w:p w:rsidR="00B841F6" w:rsidRPr="005849A2" w:rsidRDefault="003313E3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Établir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le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compte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résultat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prévisionne</w:t>
      </w:r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l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ainsi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que le plan de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trésorerie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prévisionnel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</w:t>
      </w:r>
      <w:bookmarkStart w:id="0" w:name="_GoBack"/>
      <w:bookmarkEnd w:id="0"/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mensuel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annuel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.</w:t>
      </w:r>
    </w:p>
    <w:p w:rsidR="00B841F6" w:rsidRPr="005849A2" w:rsidRDefault="003313E3">
      <w:pPr>
        <w:numPr>
          <w:ilvl w:val="0"/>
          <w:numId w:val="1"/>
        </w:numP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Élaborer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le budget de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l’organisation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 (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entreprise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 xml:space="preserve">, service,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projet</w:t>
      </w:r>
      <w:proofErr w:type="spellEnd"/>
      <w:r w:rsidRPr="005849A2">
        <w:rPr>
          <w:rFonts w:ascii="Century Gothic" w:eastAsia="Century Gothic" w:hAnsi="Century Gothic" w:cs="Century Gothic"/>
          <w:sz w:val="20"/>
          <w:szCs w:val="20"/>
          <w:highlight w:val="white"/>
        </w:rPr>
        <w:t>).</w:t>
      </w:r>
    </w:p>
    <w:p w:rsidR="00B841F6" w:rsidRPr="005849A2" w:rsidRDefault="00B841F6">
      <w:pPr>
        <w:ind w:left="720"/>
        <w:jc w:val="both"/>
        <w:rPr>
          <w:rFonts w:ascii="Century Gothic" w:eastAsia="Century Gothic" w:hAnsi="Century Gothic" w:cs="Century Gothic"/>
          <w:sz w:val="20"/>
          <w:szCs w:val="20"/>
          <w:highlight w:val="white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Modalités</w:t>
      </w:r>
      <w:proofErr w:type="spellEnd"/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d’évaluations</w:t>
      </w:r>
      <w:proofErr w:type="spellEnd"/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:</w:t>
      </w:r>
      <w:proofErr w:type="gramEnd"/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B841F6" w:rsidRPr="005849A2" w:rsidRDefault="003313E3">
      <w:pPr>
        <w:rPr>
          <w:rFonts w:ascii="Century Gothic" w:eastAsia="Arial" w:hAnsi="Century Gothic" w:cs="Arial"/>
          <w:sz w:val="20"/>
          <w:szCs w:val="20"/>
          <w:highlight w:val="white"/>
        </w:rPr>
      </w:pPr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Etude de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cas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pratique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réelle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portant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sur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l’élaboration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du budget de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l’entreprise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l’apprenant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.</w:t>
      </w:r>
    </w:p>
    <w:p w:rsidR="00B841F6" w:rsidRPr="005849A2" w:rsidRDefault="00B841F6">
      <w:pPr>
        <w:rPr>
          <w:rFonts w:ascii="Century Gothic" w:eastAsia="Arial" w:hAnsi="Century Gothic" w:cs="Arial"/>
          <w:sz w:val="20"/>
          <w:szCs w:val="20"/>
          <w:highlight w:val="white"/>
        </w:rPr>
      </w:pPr>
    </w:p>
    <w:p w:rsidR="00B841F6" w:rsidRPr="005849A2" w:rsidRDefault="003313E3">
      <w:pPr>
        <w:rPr>
          <w:rFonts w:ascii="Century Gothic" w:eastAsia="Arial" w:hAnsi="Century Gothic" w:cs="Arial"/>
          <w:sz w:val="20"/>
          <w:szCs w:val="20"/>
          <w:highlight w:val="white"/>
        </w:rPr>
      </w:pPr>
      <w:proofErr w:type="spellStart"/>
      <w:proofErr w:type="gramStart"/>
      <w:r w:rsidRPr="005849A2">
        <w:rPr>
          <w:rFonts w:ascii="Century Gothic" w:eastAsia="Arial" w:hAnsi="Century Gothic" w:cs="Arial"/>
          <w:b/>
          <w:sz w:val="20"/>
          <w:szCs w:val="20"/>
          <w:highlight w:val="white"/>
        </w:rPr>
        <w:t>Tarif</w:t>
      </w:r>
      <w:proofErr w:type="spellEnd"/>
      <w:r w:rsidRPr="005849A2">
        <w:rPr>
          <w:rFonts w:ascii="Century Gothic" w:eastAsia="Arial" w:hAnsi="Century Gothic" w:cs="Arial"/>
          <w:b/>
          <w:sz w:val="20"/>
          <w:szCs w:val="20"/>
          <w:highlight w:val="white"/>
        </w:rPr>
        <w:t xml:space="preserve"> :</w:t>
      </w:r>
      <w:proofErr w:type="gram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3846 euros</w:t>
      </w:r>
    </w:p>
    <w:p w:rsidR="00B841F6" w:rsidRPr="005849A2" w:rsidRDefault="00B841F6">
      <w:pPr>
        <w:rPr>
          <w:rFonts w:ascii="Century Gothic" w:eastAsia="Century Gothic" w:hAnsi="Century Gothic" w:cs="Century Gothic"/>
          <w:sz w:val="20"/>
          <w:szCs w:val="20"/>
        </w:rPr>
      </w:pPr>
    </w:p>
    <w:p w:rsidR="00B841F6" w:rsidRPr="005849A2" w:rsidRDefault="00B841F6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B841F6" w:rsidRPr="005849A2" w:rsidRDefault="003313E3">
      <w:pPr>
        <w:rPr>
          <w:rFonts w:ascii="Century Gothic" w:eastAsia="Century Gothic" w:hAnsi="Century Gothic" w:cs="Century Gothic"/>
          <w:b/>
          <w:sz w:val="20"/>
          <w:szCs w:val="20"/>
        </w:rPr>
      </w:pPr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Public </w:t>
      </w:r>
      <w:proofErr w:type="spellStart"/>
      <w:proofErr w:type="gramStart"/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concerné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 :</w:t>
      </w:r>
      <w:proofErr w:type="gramEnd"/>
    </w:p>
    <w:p w:rsidR="00B841F6" w:rsidRPr="005849A2" w:rsidRDefault="00B841F6">
      <w:pPr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Arial" w:hAnsi="Century Gothic" w:cs="Arial"/>
          <w:sz w:val="20"/>
          <w:szCs w:val="20"/>
          <w:highlight w:val="white"/>
        </w:rPr>
      </w:pPr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La formation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s’adresse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aux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dirigeants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et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créateurs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d’entreprise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ayant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besoin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d’acquérir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des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compétences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en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termes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gestion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budgétaire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.</w:t>
      </w: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  <w:proofErr w:type="spellStart"/>
      <w:proofErr w:type="gram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Prérequis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:</w:t>
      </w:r>
      <w:proofErr w:type="gramEnd"/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Arial" w:hAnsi="Century Gothic" w:cs="Arial"/>
          <w:sz w:val="20"/>
          <w:szCs w:val="20"/>
          <w:highlight w:val="white"/>
        </w:rPr>
      </w:pPr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Expérience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professionnelle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proofErr w:type="gram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demandée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:</w:t>
      </w:r>
      <w:proofErr w:type="gram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3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ans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minimum.</w:t>
      </w: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  <w:highlight w:val="white"/>
        </w:rPr>
      </w:pP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Certification </w:t>
      </w: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visée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:</w:t>
      </w: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La formation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mène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à la certification RS5994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enregistrée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au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Répertoire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Spécifique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de France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Compétences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le 25/04/</w:t>
      </w:r>
      <w:proofErr w:type="gram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2022,  '</w:t>
      </w:r>
      <w:proofErr w:type="gram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Elaboration du budget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d'une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TPE/PME’ et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détenue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par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Myard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 </w:t>
      </w:r>
      <w:proofErr w:type="spellStart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>Consulteam</w:t>
      </w:r>
      <w:proofErr w:type="spellEnd"/>
      <w:r w:rsidRPr="005849A2">
        <w:rPr>
          <w:rFonts w:ascii="Century Gothic" w:eastAsia="Arial" w:hAnsi="Century Gothic" w:cs="Arial"/>
          <w:sz w:val="20"/>
          <w:szCs w:val="20"/>
          <w:highlight w:val="white"/>
        </w:rPr>
        <w:t xml:space="preserve">. </w:t>
      </w:r>
      <w:hyperlink r:id="rId9">
        <w:r w:rsidRPr="005849A2">
          <w:rPr>
            <w:rFonts w:ascii="Century Gothic" w:eastAsia="Arial" w:hAnsi="Century Gothic" w:cs="Arial"/>
            <w:color w:val="1155CC"/>
            <w:sz w:val="20"/>
            <w:szCs w:val="20"/>
            <w:highlight w:val="white"/>
            <w:u w:val="single"/>
          </w:rPr>
          <w:t>https://www.francecompetences.fr/recherche/rs/5994/</w:t>
        </w:r>
      </w:hyperlink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 w:rsidRPr="005849A2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Handicap</w:t>
      </w: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lastRenderedPageBreak/>
        <w:t>Dans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le cadre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du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respect du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règlement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d'examen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tout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candidat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peut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saisir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le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référent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handicap du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certificateur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pour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aménager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les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modalités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d'évaluation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obtenir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l’assistance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d’un tiers</w:t>
      </w:r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lors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l’évaluation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Les supports et le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matériel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nécessaires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à la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réalisation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des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évaluations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pourront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être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adaptés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Sur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conseil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du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référent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handicap et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dans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le respect des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spécifications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du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référentiel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le format de la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modalité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pourra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être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adapté</w:t>
      </w:r>
      <w:proofErr w:type="spellEnd"/>
      <w:r w:rsidRPr="005849A2">
        <w:rPr>
          <w:rFonts w:ascii="Century Gothic" w:eastAsia="Century Gothic" w:hAnsi="Century Gothic" w:cs="Century Gothic"/>
          <w:color w:val="000000"/>
          <w:sz w:val="20"/>
          <w:szCs w:val="20"/>
        </w:rPr>
        <w:t>.</w:t>
      </w:r>
    </w:p>
    <w:p w:rsidR="00B841F6" w:rsidRPr="005849A2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B841F6" w:rsidRPr="005849A2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0"/>
          <w:szCs w:val="20"/>
        </w:rPr>
      </w:pPr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Le </w:t>
      </w:r>
      <w:proofErr w:type="spell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référent</w:t>
      </w:r>
      <w:proofErr w:type="spell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proofErr w:type="gramStart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>handicap :</w:t>
      </w:r>
      <w:proofErr w:type="gramEnd"/>
      <w:r w:rsidRPr="005849A2">
        <w:rPr>
          <w:rFonts w:ascii="Century Gothic" w:eastAsia="Century Gothic" w:hAnsi="Century Gothic" w:cs="Century Gothic"/>
          <w:b/>
          <w:sz w:val="20"/>
          <w:szCs w:val="20"/>
        </w:rPr>
        <w:t xml:space="preserve"> </w:t>
      </w:r>
      <w:r w:rsidRPr="005849A2">
        <w:rPr>
          <w:rFonts w:ascii="Century Gothic" w:eastAsia="Century Gothic" w:hAnsi="Century Gothic" w:cs="Century Gothic"/>
          <w:sz w:val="20"/>
          <w:szCs w:val="20"/>
        </w:rPr>
        <w:t xml:space="preserve">NACASS James </w:t>
      </w:r>
      <w:proofErr w:type="spellStart"/>
      <w:r w:rsidRPr="005849A2">
        <w:rPr>
          <w:rFonts w:ascii="Century Gothic" w:eastAsia="Century Gothic" w:hAnsi="Century Gothic" w:cs="Century Gothic"/>
          <w:sz w:val="20"/>
          <w:szCs w:val="20"/>
        </w:rPr>
        <w:t>support@regenerate.education</w:t>
      </w:r>
      <w:proofErr w:type="spellEnd"/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2"/>
          <w:szCs w:val="22"/>
        </w:rPr>
      </w:pP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sz w:val="26"/>
          <w:szCs w:val="26"/>
        </w:rPr>
      </w:pPr>
    </w:p>
    <w:p w:rsidR="00B841F6" w:rsidRDefault="003313E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b/>
          <w:color w:val="000000"/>
        </w:rPr>
      </w:pPr>
      <w:proofErr w:type="gramStart"/>
      <w:r>
        <w:rPr>
          <w:rFonts w:ascii="Century Gothic" w:eastAsia="Century Gothic" w:hAnsi="Century Gothic" w:cs="Century Gothic"/>
          <w:b/>
          <w:color w:val="000000"/>
        </w:rPr>
        <w:t>PROGRAMME</w:t>
      </w:r>
      <w:r>
        <w:rPr>
          <w:rFonts w:ascii="Century Gothic" w:eastAsia="Century Gothic" w:hAnsi="Century Gothic" w:cs="Century Gothic"/>
        </w:rPr>
        <w:t xml:space="preserve"> </w:t>
      </w:r>
      <w:r>
        <w:rPr>
          <w:rFonts w:ascii="Century Gothic" w:eastAsia="Century Gothic" w:hAnsi="Century Gothic" w:cs="Century Gothic"/>
          <w:color w:val="000000"/>
        </w:rPr>
        <w:t>:</w:t>
      </w:r>
      <w:proofErr w:type="gramEnd"/>
      <w:r>
        <w:rPr>
          <w:rFonts w:ascii="Century Gothic" w:eastAsia="Century Gothic" w:hAnsi="Century Gothic" w:cs="Century Gothic"/>
          <w:color w:val="000000"/>
        </w:rPr>
        <w:t xml:space="preserve"> </w:t>
      </w:r>
      <w:r>
        <w:rPr>
          <w:rFonts w:ascii="Arial" w:eastAsia="Arial" w:hAnsi="Arial" w:cs="Arial"/>
          <w:b/>
          <w:color w:val="18191B"/>
          <w:highlight w:val="white"/>
        </w:rPr>
        <w:t xml:space="preserve">Elaboration du budget </w:t>
      </w:r>
      <w:proofErr w:type="spellStart"/>
      <w:r>
        <w:rPr>
          <w:rFonts w:ascii="Arial" w:eastAsia="Arial" w:hAnsi="Arial" w:cs="Arial"/>
          <w:b/>
          <w:color w:val="18191B"/>
          <w:highlight w:val="white"/>
        </w:rPr>
        <w:t>d'une</w:t>
      </w:r>
      <w:proofErr w:type="spellEnd"/>
      <w:r>
        <w:rPr>
          <w:rFonts w:ascii="Arial" w:eastAsia="Arial" w:hAnsi="Arial" w:cs="Arial"/>
          <w:b/>
          <w:color w:val="18191B"/>
          <w:highlight w:val="white"/>
        </w:rPr>
        <w:t xml:space="preserve"> TPE/PME</w:t>
      </w:r>
    </w:p>
    <w:p w:rsidR="00B841F6" w:rsidRDefault="00B841F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Module </w:t>
      </w:r>
      <w:proofErr w:type="gram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1 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Etablissement</w:t>
      </w:r>
      <w:proofErr w:type="spellEnd"/>
      <w:proofErr w:type="gram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du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prévisionnel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1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Achats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2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Services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extérieurs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3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Charges internes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4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impôts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taxes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versements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assimilés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5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Charges de personnel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6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Charges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financieres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7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Dotation aux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amortissements</w:t>
      </w:r>
      <w:proofErr w:type="spellEnd"/>
    </w:p>
    <w:p w:rsidR="00B841F6" w:rsidRPr="005849A2" w:rsidRDefault="00B841F6">
      <w:pPr>
        <w:rPr>
          <w:rFonts w:ascii="Century Gothic" w:eastAsia="Century Gothic" w:hAnsi="Century Gothic" w:cs="Century Gothic"/>
          <w:sz w:val="18"/>
          <w:szCs w:val="18"/>
        </w:rPr>
      </w:pPr>
    </w:p>
    <w:p w:rsidR="00B841F6" w:rsidRPr="005849A2" w:rsidRDefault="003313E3">
      <w:pPr>
        <w:rPr>
          <w:rFonts w:ascii="Century Gothic" w:eastAsia="Century Gothic" w:hAnsi="Century Gothic" w:cs="Century Gothic"/>
          <w:b/>
          <w:sz w:val="18"/>
          <w:szCs w:val="18"/>
        </w:rPr>
      </w:pPr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Module </w:t>
      </w:r>
      <w:proofErr w:type="gram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2 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Prévisionnel</w:t>
      </w:r>
      <w:proofErr w:type="spellEnd"/>
      <w:proofErr w:type="gram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des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recettes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1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Se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référer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à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l'année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précédente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2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Bons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commandes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signés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3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Devis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acceptés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4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Devis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établis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en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bonne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voie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5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Mise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à disposition du tableau excel avec les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formules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comptes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6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Mise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à disposition des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chiffres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différents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comptes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charges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>Chap</w:t>
      </w: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7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Mise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à disposition des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chiffres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du et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ou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comptes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produits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proofErr w:type="spellStart"/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Exercices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remplir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le tableau </w:t>
      </w:r>
    </w:p>
    <w:p w:rsidR="00B841F6" w:rsidRPr="005849A2" w:rsidRDefault="00B841F6">
      <w:pPr>
        <w:rPr>
          <w:rFonts w:ascii="Century Gothic" w:eastAsia="Century Gothic" w:hAnsi="Century Gothic" w:cs="Century Gothic"/>
          <w:sz w:val="18"/>
          <w:szCs w:val="18"/>
        </w:rPr>
      </w:pPr>
    </w:p>
    <w:p w:rsidR="00B841F6" w:rsidRPr="005849A2" w:rsidRDefault="00B841F6">
      <w:pPr>
        <w:rPr>
          <w:rFonts w:ascii="Century Gothic" w:eastAsia="Century Gothic" w:hAnsi="Century Gothic" w:cs="Century Gothic"/>
          <w:sz w:val="18"/>
          <w:szCs w:val="18"/>
        </w:rPr>
      </w:pPr>
    </w:p>
    <w:p w:rsidR="00B841F6" w:rsidRPr="005849A2" w:rsidRDefault="003313E3">
      <w:pPr>
        <w:rPr>
          <w:rFonts w:ascii="Century Gothic" w:eastAsia="Century Gothic" w:hAnsi="Century Gothic" w:cs="Century Gothic"/>
          <w:b/>
          <w:sz w:val="18"/>
          <w:szCs w:val="18"/>
        </w:rPr>
      </w:pPr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Module 3  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Suivi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mensuel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prévisionnel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1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Comprendre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la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trésorerie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ses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enjeux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2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Identifier les flux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trésorerie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3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Élaboration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du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prévisionnel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trésorerie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4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Suivi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mensuel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mise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à jour du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prévisionnel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5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Analyse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écarts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décisions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correctives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6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Anticiper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couvrir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les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besoins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financement</w:t>
      </w:r>
      <w:proofErr w:type="spellEnd"/>
    </w:p>
    <w:p w:rsidR="00B841F6" w:rsidRPr="005849A2" w:rsidRDefault="00B841F6">
      <w:pPr>
        <w:rPr>
          <w:rFonts w:ascii="Century Gothic" w:eastAsia="Century Gothic" w:hAnsi="Century Gothic" w:cs="Century Gothic"/>
          <w:sz w:val="18"/>
          <w:szCs w:val="18"/>
        </w:rPr>
      </w:pPr>
    </w:p>
    <w:p w:rsidR="00B841F6" w:rsidRPr="005849A2" w:rsidRDefault="003313E3">
      <w:pPr>
        <w:rPr>
          <w:rFonts w:ascii="Century Gothic" w:eastAsia="Century Gothic" w:hAnsi="Century Gothic" w:cs="Century Gothic"/>
          <w:b/>
          <w:sz w:val="18"/>
          <w:szCs w:val="18"/>
        </w:rPr>
      </w:pPr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Module 4   La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création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des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outils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de</w:t>
      </w:r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trésorerie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et le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suivi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1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Identifier les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besoins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d’investissement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2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Étudier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les sources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financement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possibles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3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Évaluer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les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coûts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conditions d’un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emprunt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bancaire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4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Élaboration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d’un tableau Excel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suivi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automatisé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5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Suivi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rapprochement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bancaire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6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Réalisation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l’état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rapprochement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bancaire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mensuel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7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Évaluer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l’impact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financier et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comptable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investissements</w:t>
      </w:r>
      <w:proofErr w:type="spellEnd"/>
    </w:p>
    <w:p w:rsidR="00B841F6" w:rsidRPr="005849A2" w:rsidRDefault="00B841F6">
      <w:pPr>
        <w:rPr>
          <w:rFonts w:ascii="Century Gothic" w:eastAsia="Century Gothic" w:hAnsi="Century Gothic" w:cs="Century Gothic"/>
          <w:sz w:val="18"/>
          <w:szCs w:val="18"/>
        </w:rPr>
      </w:pPr>
    </w:p>
    <w:p w:rsidR="00B841F6" w:rsidRPr="005849A2" w:rsidRDefault="003313E3">
      <w:pPr>
        <w:rPr>
          <w:rFonts w:ascii="Century Gothic" w:eastAsia="Century Gothic" w:hAnsi="Century Gothic" w:cs="Century Gothic"/>
          <w:b/>
          <w:sz w:val="18"/>
          <w:szCs w:val="18"/>
        </w:rPr>
      </w:pPr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Module </w:t>
      </w:r>
      <w:proofErr w:type="gram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5  Elaboration</w:t>
      </w:r>
      <w:proofErr w:type="gram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d'un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prévisionnel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trésorerie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sur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Trois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mois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annuel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>Chap</w:t>
      </w: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1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Recueillir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analyser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les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données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financières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2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Élaboration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du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compte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résultat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prévisionnel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3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Construction du plan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trésorerie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prévisionnel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mensuel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4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Consolidation des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données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mensuelles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pour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obtenir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une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vision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annuelle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lastRenderedPageBreak/>
        <w:t>Chap</w:t>
      </w: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5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Contrôle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cohérence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entre le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compte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résultat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le plan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trésorerie</w:t>
      </w:r>
      <w:proofErr w:type="spellEnd"/>
    </w:p>
    <w:p w:rsidR="00B841F6" w:rsidRPr="005849A2" w:rsidRDefault="00B841F6">
      <w:pPr>
        <w:rPr>
          <w:rFonts w:ascii="Century Gothic" w:eastAsia="Century Gothic" w:hAnsi="Century Gothic" w:cs="Century Gothic"/>
          <w:sz w:val="18"/>
          <w:szCs w:val="18"/>
        </w:rPr>
      </w:pP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Module 6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Maîtriser</w:t>
      </w:r>
      <w:proofErr w:type="spellEnd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 xml:space="preserve"> les flux financiers </w:t>
      </w:r>
      <w:proofErr w:type="spellStart"/>
      <w:r w:rsidRPr="005849A2">
        <w:rPr>
          <w:rFonts w:ascii="Century Gothic" w:eastAsia="Century Gothic" w:hAnsi="Century Gothic" w:cs="Century Gothic"/>
          <w:b/>
          <w:sz w:val="18"/>
          <w:szCs w:val="18"/>
        </w:rPr>
        <w:t>prévisionnels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1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Relier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le budget à la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stratégie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à la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prise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décision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2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Identifier les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éléments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nécessaires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à la cons</w:t>
      </w: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truction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budgétaire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3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Anticiper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les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besoins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financement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et la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capacité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d’autofinancement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>.</w:t>
      </w:r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4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Construire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un budget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cohérent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à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partir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des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différentes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données</w:t>
      </w:r>
      <w:proofErr w:type="spellEnd"/>
    </w:p>
    <w:p w:rsidR="00B841F6" w:rsidRPr="005849A2" w:rsidRDefault="003313E3">
      <w:pPr>
        <w:rPr>
          <w:rFonts w:ascii="Century Gothic" w:eastAsia="Century Gothic" w:hAnsi="Century Gothic" w:cs="Century Gothic"/>
          <w:sz w:val="18"/>
          <w:szCs w:val="18"/>
        </w:rPr>
      </w:pPr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Chap </w:t>
      </w:r>
      <w:proofErr w:type="gramStart"/>
      <w:r w:rsidRPr="005849A2">
        <w:rPr>
          <w:rFonts w:ascii="Century Gothic" w:eastAsia="Century Gothic" w:hAnsi="Century Gothic" w:cs="Century Gothic"/>
          <w:sz w:val="18"/>
          <w:szCs w:val="18"/>
        </w:rPr>
        <w:t>5 :</w:t>
      </w:r>
      <w:proofErr w:type="gram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Présenter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efficacement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un budget aux </w:t>
      </w:r>
      <w:proofErr w:type="spellStart"/>
      <w:r w:rsidRPr="005849A2">
        <w:rPr>
          <w:rFonts w:ascii="Century Gothic" w:eastAsia="Century Gothic" w:hAnsi="Century Gothic" w:cs="Century Gothic"/>
          <w:sz w:val="18"/>
          <w:szCs w:val="18"/>
        </w:rPr>
        <w:t>partenaires</w:t>
      </w:r>
      <w:proofErr w:type="spellEnd"/>
      <w:r w:rsidRPr="005849A2">
        <w:rPr>
          <w:rFonts w:ascii="Century Gothic" w:eastAsia="Century Gothic" w:hAnsi="Century Gothic" w:cs="Century Gothic"/>
          <w:sz w:val="18"/>
          <w:szCs w:val="18"/>
        </w:rPr>
        <w:t xml:space="preserve"> financiers.</w:t>
      </w:r>
    </w:p>
    <w:p w:rsidR="00B841F6" w:rsidRPr="005849A2" w:rsidRDefault="00B841F6">
      <w:pPr>
        <w:rPr>
          <w:rFonts w:ascii="Century Gothic" w:eastAsia="Century Gothic" w:hAnsi="Century Gothic" w:cs="Century Gothic"/>
          <w:sz w:val="18"/>
          <w:szCs w:val="18"/>
        </w:rPr>
      </w:pPr>
    </w:p>
    <w:sectPr w:rsidR="00B841F6" w:rsidRPr="005849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E3" w:rsidRDefault="003313E3">
      <w:r>
        <w:separator/>
      </w:r>
    </w:p>
  </w:endnote>
  <w:endnote w:type="continuationSeparator" w:id="0">
    <w:p w:rsidR="003313E3" w:rsidRDefault="00331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F6" w:rsidRDefault="00B84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F6" w:rsidRDefault="00B84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jc w:val="center"/>
      <w:rPr>
        <w:rFonts w:ascii="Century Gothic" w:eastAsia="Century Gothic" w:hAnsi="Century Gothic" w:cs="Century Gothic"/>
        <w:color w:val="C00000"/>
        <w:sz w:val="16"/>
        <w:szCs w:val="16"/>
      </w:rPr>
    </w:pPr>
  </w:p>
  <w:p w:rsidR="00B841F6" w:rsidRDefault="00B84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jc w:val="center"/>
      <w:rPr>
        <w:rFonts w:ascii="Century Gothic" w:eastAsia="Century Gothic" w:hAnsi="Century Gothic" w:cs="Century Gothic"/>
        <w:color w:val="C00000"/>
        <w:sz w:val="16"/>
        <w:szCs w:val="16"/>
      </w:rPr>
    </w:pPr>
  </w:p>
  <w:p w:rsidR="00B841F6" w:rsidRDefault="003313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46"/>
      </w:tabs>
      <w:jc w:val="center"/>
      <w:rPr>
        <w:color w:val="403152"/>
        <w:sz w:val="16"/>
        <w:szCs w:val="16"/>
      </w:rPr>
    </w:pPr>
    <w:r>
      <w:rPr>
        <w:color w:val="403152"/>
        <w:sz w:val="16"/>
        <w:szCs w:val="16"/>
      </w:rPr>
      <w:t>REGENERATE</w:t>
    </w:r>
  </w:p>
  <w:p w:rsidR="00B841F6" w:rsidRDefault="003313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46"/>
      </w:tabs>
      <w:jc w:val="center"/>
      <w:rPr>
        <w:color w:val="403152"/>
        <w:sz w:val="16"/>
        <w:szCs w:val="16"/>
      </w:rPr>
    </w:pPr>
    <w:r>
      <w:rPr>
        <w:color w:val="403152"/>
        <w:sz w:val="16"/>
        <w:szCs w:val="16"/>
      </w:rPr>
      <w:t xml:space="preserve">147 rue </w:t>
    </w:r>
    <w:proofErr w:type="spellStart"/>
    <w:r>
      <w:rPr>
        <w:color w:val="403152"/>
        <w:sz w:val="16"/>
        <w:szCs w:val="16"/>
      </w:rPr>
      <w:t>Oberkampf</w:t>
    </w:r>
    <w:proofErr w:type="spellEnd"/>
    <w:r>
      <w:rPr>
        <w:color w:val="403152"/>
        <w:sz w:val="16"/>
        <w:szCs w:val="16"/>
      </w:rPr>
      <w:t xml:space="preserve"> 75011 PARIS</w:t>
    </w:r>
  </w:p>
  <w:p w:rsidR="00B841F6" w:rsidRDefault="003313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46"/>
      </w:tabs>
      <w:jc w:val="center"/>
      <w:rPr>
        <w:color w:val="403152"/>
        <w:sz w:val="16"/>
        <w:szCs w:val="16"/>
      </w:rPr>
    </w:pPr>
    <w:r>
      <w:rPr>
        <w:color w:val="403152"/>
        <w:sz w:val="16"/>
        <w:szCs w:val="16"/>
      </w:rPr>
      <w:t xml:space="preserve">SIRET: 84481894800011 – </w:t>
    </w:r>
    <w:proofErr w:type="gramStart"/>
    <w:r>
      <w:rPr>
        <w:color w:val="403152"/>
        <w:sz w:val="16"/>
        <w:szCs w:val="16"/>
      </w:rPr>
      <w:t>TVA :</w:t>
    </w:r>
    <w:proofErr w:type="gramEnd"/>
    <w:r>
      <w:rPr>
        <w:color w:val="403152"/>
        <w:sz w:val="16"/>
        <w:szCs w:val="16"/>
      </w:rPr>
      <w:t xml:space="preserve"> FR 19844818948– RCS : Paris B 844 818 948</w:t>
    </w:r>
  </w:p>
  <w:p w:rsidR="00B841F6" w:rsidRDefault="003313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46"/>
      </w:tabs>
      <w:jc w:val="center"/>
      <w:rPr>
        <w:color w:val="403152"/>
        <w:sz w:val="16"/>
        <w:szCs w:val="16"/>
      </w:rPr>
    </w:pPr>
    <w:r>
      <w:rPr>
        <w:color w:val="403152"/>
        <w:sz w:val="16"/>
        <w:szCs w:val="16"/>
      </w:rPr>
      <w:t xml:space="preserve">SAS au capital de 120 100 € </w:t>
    </w:r>
  </w:p>
  <w:p w:rsidR="00B841F6" w:rsidRDefault="003313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46"/>
      </w:tabs>
      <w:jc w:val="center"/>
      <w:rPr>
        <w:color w:val="000000"/>
      </w:rPr>
    </w:pPr>
    <w:proofErr w:type="spellStart"/>
    <w:r>
      <w:rPr>
        <w:color w:val="403152"/>
        <w:sz w:val="16"/>
        <w:szCs w:val="16"/>
      </w:rPr>
      <w:t>Tél</w:t>
    </w:r>
    <w:proofErr w:type="spellEnd"/>
    <w:r>
      <w:rPr>
        <w:color w:val="403152"/>
        <w:sz w:val="16"/>
        <w:szCs w:val="16"/>
      </w:rPr>
      <w:t xml:space="preserve">: 0665173506 – </w:t>
    </w:r>
    <w:proofErr w:type="gramStart"/>
    <w:r>
      <w:rPr>
        <w:color w:val="403152"/>
        <w:sz w:val="16"/>
        <w:szCs w:val="16"/>
      </w:rPr>
      <w:t>Email :</w:t>
    </w:r>
    <w:proofErr w:type="spellStart"/>
    <w:proofErr w:type="gramEnd"/>
    <w:r>
      <w:rPr>
        <w:color w:val="403152"/>
        <w:sz w:val="16"/>
        <w:szCs w:val="16"/>
      </w:rPr>
      <w:t>support@regenerate.education</w:t>
    </w:r>
    <w:proofErr w:type="spellEnd"/>
  </w:p>
  <w:p w:rsidR="00B841F6" w:rsidRDefault="00B84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46"/>
      </w:tabs>
      <w:jc w:val="center"/>
      <w:rPr>
        <w:rFonts w:ascii="Arial" w:eastAsia="Arial" w:hAnsi="Arial" w:cs="Arial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F6" w:rsidRDefault="00B84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E3" w:rsidRDefault="003313E3">
      <w:r>
        <w:separator/>
      </w:r>
    </w:p>
  </w:footnote>
  <w:footnote w:type="continuationSeparator" w:id="0">
    <w:p w:rsidR="003313E3" w:rsidRDefault="00331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F6" w:rsidRDefault="00B84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F6" w:rsidRDefault="003313E3">
    <w:pP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noProof/>
        <w:color w:val="000000"/>
        <w:sz w:val="22"/>
        <w:szCs w:val="22"/>
        <w:lang w:val="fr-FR"/>
      </w:rPr>
      <w:drawing>
        <wp:inline distT="0" distB="0" distL="0" distR="0">
          <wp:extent cx="2302994" cy="570580"/>
          <wp:effectExtent l="0" t="0" r="0" b="0"/>
          <wp:docPr id="151765579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2994" cy="570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1F6" w:rsidRDefault="00B841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B31D1"/>
    <w:multiLevelType w:val="multilevel"/>
    <w:tmpl w:val="A8DEBF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2E37FA"/>
    <w:multiLevelType w:val="multilevel"/>
    <w:tmpl w:val="4A5AABD6"/>
    <w:lvl w:ilvl="0">
      <w:start w:val="1"/>
      <w:numFmt w:val="upperRoman"/>
      <w:lvlText w:val="%1."/>
      <w:lvlJc w:val="left"/>
      <w:pPr>
        <w:ind w:left="720" w:hanging="493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(%7)"/>
      <w:lvlJc w:val="left"/>
      <w:pPr>
        <w:ind w:left="5040" w:hanging="49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(%9)"/>
      <w:lvlJc w:val="left"/>
      <w:pPr>
        <w:ind w:left="6480" w:hanging="494"/>
      </w:pPr>
      <w:rPr>
        <w:rFonts w:ascii="Arial" w:eastAsia="Arial" w:hAnsi="Arial" w:cs="Arial"/>
        <w:b/>
        <w:i w:val="0"/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F6"/>
    <w:rsid w:val="003313E3"/>
    <w:rsid w:val="005849A2"/>
    <w:rsid w:val="00B841F6"/>
    <w:rsid w:val="00E3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4354C"/>
  <w15:docId w15:val="{D13D42CB-B825-447E-8F49-BD89623E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360" w:after="80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160" w:after="80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2F5496"/>
    </w:rPr>
  </w:style>
  <w:style w:type="paragraph" w:styleId="Titre5">
    <w:name w:val="heading 5"/>
    <w:basedOn w:val="Normal"/>
    <w:next w:val="Normal"/>
    <w:pPr>
      <w:keepNext/>
      <w:keepLines/>
      <w:spacing w:before="80" w:after="40"/>
      <w:outlineLvl w:val="4"/>
    </w:pPr>
    <w:rPr>
      <w:color w:val="2F5496"/>
    </w:rPr>
  </w:style>
  <w:style w:type="paragraph" w:styleId="Titre6">
    <w:name w:val="heading 6"/>
    <w:basedOn w:val="Normal"/>
    <w:next w:val="Normal"/>
    <w:pPr>
      <w:keepNext/>
      <w:keepLines/>
      <w:spacing w:before="40"/>
      <w:outlineLvl w:val="5"/>
    </w:pPr>
    <w:rPr>
      <w:i/>
      <w:color w:val="595959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10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10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10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pPr>
      <w:spacing w:after="80"/>
    </w:pPr>
    <w:rPr>
      <w:rFonts w:ascii="Calibri" w:eastAsia="Calibri" w:hAnsi="Calibri" w:cs="Calibri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uiPriority w:val="9"/>
    <w:rsid w:val="00541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uiPriority w:val="9"/>
    <w:semiHidden/>
    <w:rsid w:val="00541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uiPriority w:val="9"/>
    <w:semiHidden/>
    <w:rsid w:val="00541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uiPriority w:val="9"/>
    <w:semiHidden/>
    <w:rsid w:val="0054106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uiPriority w:val="9"/>
    <w:semiHidden/>
    <w:rsid w:val="0054106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uiPriority w:val="9"/>
    <w:semiHidden/>
    <w:rsid w:val="005410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10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10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1064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uiPriority w:val="10"/>
    <w:rsid w:val="00541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us-titreCar">
    <w:name w:val="Sous-titre Car"/>
    <w:basedOn w:val="Policepardfaut"/>
    <w:uiPriority w:val="11"/>
    <w:rsid w:val="00541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1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10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1064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54106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1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106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106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1064"/>
    <w:pPr>
      <w:spacing w:before="100" w:beforeAutospacing="1" w:after="100" w:afterAutospacing="1"/>
    </w:pPr>
    <w:rPr>
      <w:lang w:val="fr-FR"/>
    </w:rPr>
  </w:style>
  <w:style w:type="character" w:styleId="lev">
    <w:name w:val="Strong"/>
    <w:basedOn w:val="Policepardfaut"/>
    <w:uiPriority w:val="22"/>
    <w:qFormat/>
    <w:rsid w:val="00541064"/>
    <w:rPr>
      <w:b/>
      <w:bCs/>
    </w:rPr>
  </w:style>
  <w:style w:type="paragraph" w:styleId="Sous-titre">
    <w:name w:val="Subtitle"/>
    <w:basedOn w:val="Normal"/>
    <w:next w:val="Normal"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regenerate.educatio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rancecompetences.fr/recherche/rs/5994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trWwP3OnrW0m+DvIAGvH9IJ1sQ==">CgMxLjA4AHIhMXRDN2I4a1NYQlVzUUo3cGE3aWtOd0FzNVBicGprUV9n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950</Words>
  <Characters>5226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pounah nasolo</dc:creator>
  <cp:lastModifiedBy>USER</cp:lastModifiedBy>
  <cp:revision>3</cp:revision>
  <dcterms:created xsi:type="dcterms:W3CDTF">2025-02-25T12:11:00Z</dcterms:created>
  <dcterms:modified xsi:type="dcterms:W3CDTF">2025-12-04T09:15:00Z</dcterms:modified>
</cp:coreProperties>
</file>