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Roboto" w:cs="Roboto" w:eastAsia="Roboto" w:hAnsi="Roboto"/>
          <w:b w:val="1"/>
          <w:bCs w:val="1"/>
          <w:sz w:val="34"/>
          <w:szCs w:val="34"/>
        </w:rPr>
      </w:pPr>
      <w:bookmarkStart w:colFirst="0" w:colLast="0" w:name="_2lbex3ix1w9b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sz w:val="34"/>
          <w:szCs w:val="34"/>
          <w:rtl w:val="0"/>
        </w:rPr>
        <w:t xml:space="preserve">Role Separation Diagram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+-------------------+          +-------------------+          +-------------------+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| Asset Manufacturer| -------&gt; |      Operator     | -------&gt; | Independent QH8   |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|   (NVIDIA/TSMC)   |   Sells  | (Hyperscaler/DC)  |   Uses   |      Registry     |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|                   |          |                   |          |                   |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| • Designs silicon |    HW    | • Runs workloads  |   Data   | • Issues receipts |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| • Sets TDP specs  |    +     | • Manages infra   |   +      | • Verifies states |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| • Provides vendor | Telemetry| • Claims insurance|  Logs    | • Cryptographic   |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|   logs            |          |                   |          |   audit trail     |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+-------------------+          +-------------------+          +-------------------+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          ^                            ^                            ^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        |                            |                            |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         +----------------------------+----------------------------+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                           Cannot Self-Certify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Neutral statement on self-certification limits: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"No asset manufacturer can serve as its own compliance authority without creating structural conflicts of interest in liability attribution, insurance claims, and warranty disputes."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Physical State Compliance Mandate v1.0 (full document):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62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851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5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851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5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