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i w:val="0"/>
          <w:smallCaps w:val="0"/>
          <w:strike w:val="0"/>
          <w:color w:val="000000"/>
          <w:sz w:val="74"/>
          <w:szCs w:val="74"/>
          <w:u w:val="none"/>
          <w:shd w:fill="auto" w:val="clear"/>
          <w:vertAlign w:val="baseline"/>
        </w:rPr>
      </w:pPr>
      <w:r w:rsidDel="00000000" w:rsidR="00000000" w:rsidRPr="00000000">
        <w:rPr>
          <w:b w:val="1"/>
          <w:sz w:val="74"/>
          <w:szCs w:val="74"/>
          <w:rtl w:val="0"/>
        </w:rPr>
        <w:t xml:space="preserve">Allegations against staff (including low-level concerns) policy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Pr>
        <w:drawing>
          <wp:anchor allowOverlap="1" behindDoc="0" distB="114300" distT="114300" distL="114300" distR="114300" hidden="0" layoutInCell="1" locked="0" relativeHeight="0" simplePos="0">
            <wp:simplePos x="0" y="0"/>
            <wp:positionH relativeFrom="page">
              <wp:posOffset>2503650</wp:posOffset>
            </wp:positionH>
            <wp:positionV relativeFrom="page">
              <wp:posOffset>3023786</wp:posOffset>
            </wp:positionV>
            <wp:extent cx="2549843" cy="2549843"/>
            <wp:effectExtent b="0" l="0" r="0" t="0"/>
            <wp:wrapNone/>
            <wp:docPr id="1034" name="image2.png"/>
            <a:graphic>
              <a:graphicData uri="http://schemas.openxmlformats.org/drawingml/2006/picture">
                <pic:pic>
                  <pic:nvPicPr>
                    <pic:cNvPr id="0" name="image2.png"/>
                    <pic:cNvPicPr preferRelativeResize="0"/>
                  </pic:nvPicPr>
                  <pic:blipFill>
                    <a:blip r:embed="rId7"/>
                    <a:srcRect b="739" l="0" r="0" t="739"/>
                    <a:stretch>
                      <a:fillRect/>
                    </a:stretch>
                  </pic:blipFill>
                  <pic:spPr>
                    <a:xfrm>
                      <a:off x="0" y="0"/>
                      <a:ext cx="2549843" cy="2549843"/>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rPr>
          <w:b w:val="0"/>
          <w:sz w:val="22"/>
          <w:szCs w:val="22"/>
          <w:vertAlign w:val="baseline"/>
        </w:rPr>
      </w:pPr>
      <w:r w:rsidDel="00000000" w:rsidR="00000000" w:rsidRPr="00000000">
        <w:rPr>
          <w:rtl w:val="0"/>
        </w:rPr>
      </w:r>
    </w:p>
    <w:tbl>
      <w:tblPr>
        <w:tblStyle w:val="Table1"/>
        <w:tblW w:w="9720.000000000002" w:type="dxa"/>
        <w:jc w:val="lef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11">
            <w:pPr>
              <w:rPr/>
            </w:pPr>
            <w:r w:rsidDel="00000000" w:rsidR="00000000" w:rsidRPr="00000000">
              <w:rPr>
                <w:b w:val="1"/>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2">
            <w:pPr>
              <w:ind w:right="850"/>
              <w:rPr>
                <w:sz w:val="22"/>
                <w:szCs w:val="22"/>
              </w:rPr>
            </w:pPr>
            <w:r w:rsidDel="00000000" w:rsidR="00000000" w:rsidRPr="00000000">
              <w:rPr>
                <w:sz w:val="22"/>
                <w:szCs w:val="22"/>
                <w:rtl w:val="0"/>
              </w:rPr>
              <w:t xml:space="preserve">The Head of School &amp; Proprietors</w:t>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3">
            <w:pPr>
              <w:ind w:right="850"/>
              <w:rPr>
                <w:sz w:val="22"/>
                <w:szCs w:val="22"/>
              </w:rPr>
            </w:pPr>
            <w:r w:rsidDel="00000000" w:rsidR="00000000" w:rsidRPr="00000000">
              <w:rPr>
                <w:b w:val="1"/>
                <w:sz w:val="22"/>
                <w:szCs w:val="22"/>
                <w:rtl w:val="0"/>
              </w:rPr>
              <w:t xml:space="preserve">Date:</w:t>
            </w:r>
            <w:r w:rsidDel="00000000" w:rsidR="00000000" w:rsidRPr="00000000">
              <w:rPr>
                <w:sz w:val="22"/>
                <w:szCs w:val="22"/>
                <w:rtl w:val="0"/>
              </w:rPr>
              <w:t xml:space="preserve"> August 2023</w:t>
            </w:r>
          </w:p>
        </w:tc>
      </w:tr>
      <w:tr>
        <w:trPr>
          <w:cantSplit w:val="0"/>
          <w:tblHeader w:val="0"/>
        </w:trPr>
        <w:tc>
          <w:tcPr>
            <w:tcBorders>
              <w:top w:color="ffffff" w:space="0" w:sz="18" w:val="single"/>
              <w:bottom w:color="ffffff" w:space="0" w:sz="18" w:val="single"/>
            </w:tcBorders>
            <w:shd w:fill="d8dfde" w:val="clear"/>
            <w:vAlign w:val="top"/>
          </w:tcPr>
          <w:p w:rsidR="00000000" w:rsidDel="00000000" w:rsidP="00000000" w:rsidRDefault="00000000" w:rsidRPr="00000000" w14:paraId="00000014">
            <w:pPr>
              <w:rPr/>
            </w:pPr>
            <w:r w:rsidDel="00000000" w:rsidR="00000000" w:rsidRPr="00000000">
              <w:rPr>
                <w:b w:val="1"/>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vAlign w:val="top"/>
          </w:tcPr>
          <w:p w:rsidR="00000000" w:rsidDel="00000000" w:rsidP="00000000" w:rsidRDefault="00000000" w:rsidRPr="00000000" w14:paraId="00000015">
            <w:pPr>
              <w:ind w:right="850"/>
              <w:rPr>
                <w:sz w:val="22"/>
                <w:szCs w:val="22"/>
              </w:rPr>
            </w:pPr>
            <w:r w:rsidDel="00000000" w:rsidR="00000000" w:rsidRPr="00000000">
              <w:rPr>
                <w:sz w:val="22"/>
                <w:szCs w:val="22"/>
                <w:rtl w:val="0"/>
              </w:rPr>
              <w:t xml:space="preserve">July 2021, August 2022, August 2023</w:t>
            </w:r>
          </w:p>
        </w:tc>
      </w:tr>
      <w:tr>
        <w:trPr>
          <w:cantSplit w:val="0"/>
          <w:tblHeader w:val="0"/>
        </w:trPr>
        <w:tc>
          <w:tcPr>
            <w:tcBorders>
              <w:top w:color="ffffff" w:space="0" w:sz="18" w:val="single"/>
              <w:bottom w:color="000000" w:space="0" w:sz="0" w:val="nil"/>
            </w:tcBorders>
            <w:shd w:fill="d8dfde" w:val="clear"/>
            <w:vAlign w:val="top"/>
          </w:tcPr>
          <w:p w:rsidR="00000000" w:rsidDel="00000000" w:rsidP="00000000" w:rsidRDefault="00000000" w:rsidRPr="00000000" w14:paraId="00000017">
            <w:pPr>
              <w:rPr/>
            </w:pPr>
            <w:r w:rsidDel="00000000" w:rsidR="00000000" w:rsidRPr="00000000">
              <w:rPr>
                <w:b w:val="1"/>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vAlign w:val="top"/>
          </w:tcPr>
          <w:p w:rsidR="00000000" w:rsidDel="00000000" w:rsidP="00000000" w:rsidRDefault="00000000" w:rsidRPr="00000000" w14:paraId="00000018">
            <w:pPr>
              <w:ind w:right="850"/>
              <w:rPr>
                <w:sz w:val="22"/>
                <w:szCs w:val="22"/>
              </w:rPr>
            </w:pPr>
            <w:r w:rsidDel="00000000" w:rsidR="00000000" w:rsidRPr="00000000">
              <w:rPr>
                <w:sz w:val="22"/>
                <w:szCs w:val="22"/>
                <w:rtl w:val="0"/>
              </w:rPr>
              <w:t xml:space="preserve">August 2024</w:t>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b w:val="1"/>
          <w:color w:val="12263f"/>
          <w:sz w:val="26"/>
          <w:szCs w:val="26"/>
        </w:rPr>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701" w:top="992" w:left="1077" w:right="1077" w:header="567" w:footer="227"/>
          <w:pgNumType w:start="1"/>
        </w:sect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Section 1: allegations that may meet the harm threshold</w:t>
      </w:r>
    </w:p>
    <w:p w:rsidR="00000000" w:rsidDel="00000000" w:rsidP="00000000" w:rsidRDefault="00000000" w:rsidRPr="00000000" w14:paraId="00000020">
      <w:pPr>
        <w:rPr>
          <w:sz w:val="22"/>
          <w:szCs w:val="22"/>
          <w:highlight w:val="yellow"/>
        </w:rPr>
      </w:pPr>
      <w:r w:rsidDel="00000000" w:rsidR="00000000" w:rsidRPr="00000000">
        <w:rPr>
          <w:sz w:val="22"/>
          <w:szCs w:val="22"/>
          <w:highlight w:val="yellow"/>
          <w:vertAlign w:val="baseline"/>
          <w:rtl w:val="0"/>
        </w:rPr>
        <w:t xml:space="preserve">This section is based on ‘Section 1: Allegations that may meet the harm threshold’ in part 4 of Keeping Children Safe in Education.</w:t>
      </w:r>
      <w:r w:rsidDel="00000000" w:rsidR="00000000" w:rsidRPr="00000000">
        <w:rPr>
          <w:rtl w:val="0"/>
        </w:rPr>
      </w:r>
    </w:p>
    <w:p w:rsidR="00000000" w:rsidDel="00000000" w:rsidP="00000000" w:rsidRDefault="00000000" w:rsidRPr="00000000" w14:paraId="00000021">
      <w:pPr>
        <w:rPr>
          <w:sz w:val="22"/>
          <w:szCs w:val="22"/>
          <w:vertAlign w:val="baseline"/>
        </w:rPr>
      </w:pPr>
      <w:r w:rsidDel="00000000" w:rsidR="00000000" w:rsidRPr="00000000">
        <w:rPr>
          <w:sz w:val="22"/>
          <w:szCs w:val="22"/>
          <w:vertAlign w:val="baseline"/>
          <w:rtl w:val="0"/>
        </w:rPr>
        <w:t xml:space="preserve">This section applies to all cases in which it is alleged that a current member of staff, including a supply teacher, volunteer or contractor, has: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in a way that has harmed a child, or may have harmed a child, and/or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Possibly committed a criminal offence against or related to a child, and/or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towards a child or children in a way that indicates they may pose a risk of harm to children, and/or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Behaved or may have behaved in a way that indicates they may not be suitable to work with children – this includes behaviour taking place both inside and outside of school </w:t>
      </w:r>
      <w:r w:rsidDel="00000000" w:rsidR="00000000" w:rsidRPr="00000000">
        <w:rPr>
          <w:rtl w:val="0"/>
        </w:rPr>
      </w:r>
    </w:p>
    <w:p w:rsidR="00000000" w:rsidDel="00000000" w:rsidP="00000000" w:rsidRDefault="00000000" w:rsidRPr="00000000" w14:paraId="00000026">
      <w:pPr>
        <w:rPr>
          <w:sz w:val="22"/>
          <w:szCs w:val="22"/>
          <w:vertAlign w:val="baseline"/>
        </w:rPr>
      </w:pPr>
      <w:r w:rsidDel="00000000" w:rsidR="00000000" w:rsidRPr="00000000">
        <w:rPr>
          <w:sz w:val="22"/>
          <w:szCs w:val="22"/>
          <w:vertAlign w:val="baseline"/>
          <w:rtl w:val="0"/>
        </w:rPr>
        <w:t xml:space="preserve">If we’re in any doubt as to whether a concern meets the harm threshold, we will consult out local authority designated officer (LADO).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deal with any allegation of abuse quickly, in a fair and consistent way that provides effective child protection while also supporting the individual who is the subject of the allegation.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‘case manager’ will lead any investigation. This will be the headteacher, or the chair of governors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independent schools: proprietor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headteacher is the subject of the allegation. The case manager will be identified at the earliest opportunity.</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procedures for dealing with allegations will be applied with common sense and judgement.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receive an allegation of an incident happening while an individual or organisation was using the school premises to run activities for children, we will follow our safeguarding policies and procedures and inform our LADO.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Suspension of the accused until the case is resolved</w:t>
      </w:r>
    </w:p>
    <w:p w:rsidR="00000000" w:rsidDel="00000000" w:rsidP="00000000" w:rsidRDefault="00000000" w:rsidRPr="00000000" w14:paraId="0000002C">
      <w:pPr>
        <w:rPr>
          <w:sz w:val="22"/>
          <w:szCs w:val="22"/>
          <w:vertAlign w:val="baseline"/>
        </w:rPr>
      </w:pPr>
      <w:r w:rsidDel="00000000" w:rsidR="00000000" w:rsidRPr="00000000">
        <w:rPr>
          <w:sz w:val="22"/>
          <w:szCs w:val="22"/>
          <w:vertAlign w:val="baseline"/>
          <w:rtl w:val="0"/>
        </w:rPr>
        <w:t xml:space="preserve">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rsidR="00000000" w:rsidDel="00000000" w:rsidP="00000000" w:rsidRDefault="00000000" w:rsidRPr="00000000" w14:paraId="0000002D">
      <w:pPr>
        <w:rPr>
          <w:sz w:val="22"/>
          <w:szCs w:val="22"/>
          <w:vertAlign w:val="baseline"/>
        </w:rPr>
      </w:pPr>
      <w:r w:rsidDel="00000000" w:rsidR="00000000" w:rsidRPr="00000000">
        <w:rPr>
          <w:sz w:val="22"/>
          <w:szCs w:val="22"/>
          <w:vertAlign w:val="baseline"/>
          <w:rtl w:val="0"/>
        </w:rPr>
        <w:t xml:space="preserve">Based on an assessment of risk, we will consider alternatives such as: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Redeployment within the school so that the individual does not have direct contact with the child or children concerned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an assistant to be present when the individual has contact with children</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Redeploying the individual to alternative work in the school so that they do not have unsupervised access to children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Moving the child or children to classes where they will not come into contact with the individual, making it clear that this is not a punishment and parents/carers have been consulted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Temporarily redeploying the individual to another role in a different location, for example to an alternative school or other work</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in doubt, the case manager will seek views from the school’s personnel adviser and the designated officer at the local authority, as well as the police and children’s social care where they have been involved.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Definitions for outcomes of allegation investigations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Substantiated: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is sufficient evidence to prove the allegation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Malicious: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is sufficient evidence to disprove the allegation and there has been a deliberate act to deceive, or to cause harm to the subject of the allegation</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False: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is sufficient evidence to disprove the allegation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Unsubstantiated: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is insufficient evidence to either prove or disprove the allegation (this does not imply guilt or innocence)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Unfounded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reflect cases where there is no evidence or proper basis which supports the allegation being made</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Procedure for dealing with allegations</w:t>
      </w:r>
    </w:p>
    <w:p w:rsidR="00000000" w:rsidDel="00000000" w:rsidP="00000000" w:rsidRDefault="00000000" w:rsidRPr="00000000" w14:paraId="0000003B">
      <w:pPr>
        <w:rPr>
          <w:sz w:val="22"/>
          <w:szCs w:val="22"/>
          <w:vertAlign w:val="baseline"/>
        </w:rPr>
      </w:pPr>
      <w:r w:rsidDel="00000000" w:rsidR="00000000" w:rsidRPr="00000000">
        <w:rPr>
          <w:sz w:val="22"/>
          <w:szCs w:val="22"/>
          <w:vertAlign w:val="baseline"/>
          <w:rtl w:val="0"/>
        </w:rPr>
        <w:t xml:space="preserve">In the event of an allegation that meets the criteria above, the case manager will take the following steps: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 basic enquiries in line with local procedures to establish the facts to help determine whether there is any foundation to the allegation before carrying on with the steps below</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case manager is concerned about the welfare of other children in the community or the individual’s family, they will discuss these concerns with the DSL and make a risk assessment of the situation. If necessary, the DSL may make a referral to children’s social care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immediate suspension is considered necessary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it is decided that no further action is to be taken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it is decided that further action is needed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 steps as agreed with the designated officer to initiate the appropriate action in school and/or liaise with the police and/or children’s social care services as appropriate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effective support for the individual facing the allegation or concern, including appointing a named representative to keep them informed of the progress of the case and considering what other support is appropriate.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Keep the parents or carers of the child/children involved informed of the progress of the case (only in relation to their child – no information will be shared regarding the staff member)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 referral to the DBS where it is thought that the individual facing the allegation or concern has engaged in conduct that harmed or is likely to harm a child, or if the individual otherwise poses a risk of harm to a child</w:t>
      </w:r>
      <w:r w:rsidDel="00000000" w:rsidR="00000000" w:rsidRPr="00000000">
        <w:rPr>
          <w:rtl w:val="0"/>
        </w:rPr>
      </w:r>
    </w:p>
    <w:p w:rsidR="00000000" w:rsidDel="00000000" w:rsidP="00000000" w:rsidRDefault="00000000" w:rsidRPr="00000000" w14:paraId="00000048">
      <w:pPr>
        <w:rPr>
          <w:sz w:val="22"/>
          <w:szCs w:val="22"/>
          <w:vertAlign w:val="baseline"/>
        </w:rPr>
      </w:pPr>
      <w:r w:rsidDel="00000000" w:rsidR="00000000" w:rsidRPr="00000000">
        <w:rPr>
          <w:sz w:val="22"/>
          <w:szCs w:val="22"/>
          <w:vertAlign w:val="baseline"/>
          <w:rtl w:val="0"/>
        </w:rPr>
        <w:t xml:space="preserve">If the school is made aware that the secretary of state has made an interim prohibition order in respect of an individual, we will immediately suspend that individual from teaching, pending the findings of the investigation by the Teaching Regulation Agency.</w:t>
      </w:r>
    </w:p>
    <w:p w:rsidR="00000000" w:rsidDel="00000000" w:rsidP="00000000" w:rsidRDefault="00000000" w:rsidRPr="00000000" w14:paraId="00000049">
      <w:pPr>
        <w:rPr>
          <w:sz w:val="22"/>
          <w:szCs w:val="22"/>
          <w:vertAlign w:val="baseline"/>
        </w:rPr>
      </w:pPr>
      <w:r w:rsidDel="00000000" w:rsidR="00000000" w:rsidRPr="00000000">
        <w:rPr>
          <w:sz w:val="22"/>
          <w:szCs w:val="22"/>
          <w:vertAlign w:val="baseline"/>
          <w:rtl w:val="0"/>
        </w:rPr>
        <w:t xml:space="preserve">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considerations for supply teachers and all contracted staff </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We will not decide to stop using an individual due to safeguarding concerns without finding out the facts and liaising with our LADO to determine a suitable outcome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highlight w:val="whit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governing board will discuss with the agency whether it is appropriate to suspend the individual, or redeploy them to another part of the school, while the school carries out the investigation</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We will involve the agency fully, but the school will take the lead in collecting the necessary information and providing it to the LADO as required</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We will address issues such as information sharing, to ensure any previous concerns or allegations known to the agency are taken into account (we will do this, for example, as part of the allegations management meeting or by liaising directly with the agency where necessary)</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When using an agency, we will inform them of our process for managing allegations, and keep them updated about our policies as necessary, and will invite the agency's HR manager or equivalent to meetings as appropriate.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Timescales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deal with all allegations as quickly and effectively as possible and will endeavour to comply with the following timescales, where reasonably practicable: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cases where it is clear immediately that the allegation is unsubstantiated or malicious should be resolved within 1 week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nature of an allegation does not require formal disciplinary action, appropriate action should be taken within 3 working days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disciplinary hearing is required and can be held without further investigation, this should be held within 15 working days </w:t>
      </w:r>
      <w:r w:rsidDel="00000000" w:rsidR="00000000" w:rsidRPr="00000000">
        <w:rPr>
          <w:rtl w:val="0"/>
        </w:rPr>
      </w:r>
    </w:p>
    <w:p w:rsidR="00000000" w:rsidDel="00000000" w:rsidP="00000000" w:rsidRDefault="00000000" w:rsidRPr="00000000" w14:paraId="00000056">
      <w:pPr>
        <w:spacing w:before="120" w:lineRule="auto"/>
        <w:rPr>
          <w:sz w:val="22"/>
          <w:szCs w:val="22"/>
          <w:vertAlign w:val="baseline"/>
        </w:rPr>
      </w:pPr>
      <w:r w:rsidDel="00000000" w:rsidR="00000000" w:rsidRPr="00000000">
        <w:rPr>
          <w:sz w:val="22"/>
          <w:szCs w:val="22"/>
          <w:vertAlign w:val="baseline"/>
          <w:rtl w:val="0"/>
        </w:rPr>
        <w:t xml:space="preserve">However, these are objectives only and where they are not met, we will endeavour to take the required action as soon as possible thereafter.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Specific actions</w:t>
      </w:r>
    </w:p>
    <w:p w:rsidR="00000000" w:rsidDel="00000000" w:rsidP="00000000" w:rsidRDefault="00000000" w:rsidRPr="00000000" w14:paraId="00000058">
      <w:pPr>
        <w:rPr>
          <w:b w:val="0"/>
          <w:sz w:val="22"/>
          <w:szCs w:val="22"/>
          <w:vertAlign w:val="baseline"/>
        </w:rPr>
      </w:pPr>
      <w:r w:rsidDel="00000000" w:rsidR="00000000" w:rsidRPr="00000000">
        <w:rPr>
          <w:b w:val="1"/>
          <w:sz w:val="22"/>
          <w:szCs w:val="22"/>
          <w:vertAlign w:val="baseline"/>
          <w:rtl w:val="0"/>
        </w:rPr>
        <w:t xml:space="preserve">Action following a criminal investigation or prosecution</w:t>
      </w:r>
      <w:r w:rsidDel="00000000" w:rsidR="00000000" w:rsidRPr="00000000">
        <w:rPr>
          <w:rtl w:val="0"/>
        </w:rPr>
      </w:r>
    </w:p>
    <w:p w:rsidR="00000000" w:rsidDel="00000000" w:rsidP="00000000" w:rsidRDefault="00000000" w:rsidRPr="00000000" w14:paraId="00000059">
      <w:pPr>
        <w:rPr>
          <w:sz w:val="22"/>
          <w:szCs w:val="22"/>
          <w:vertAlign w:val="baseline"/>
        </w:rPr>
      </w:pPr>
      <w:r w:rsidDel="00000000" w:rsidR="00000000" w:rsidRPr="00000000">
        <w:rPr>
          <w:sz w:val="22"/>
          <w:szCs w:val="22"/>
          <w:vertAlign w:val="baseline"/>
          <w:rtl w:val="0"/>
        </w:rPr>
        <w:t xml:space="preserve">The case manager will discuss with the local authority’s designated officer whether any further action, including disciplinary action, is appropriate and, if so, how to proceed, taking into account information provided by the police and/or children’s social care services.</w:t>
      </w:r>
    </w:p>
    <w:p w:rsidR="00000000" w:rsidDel="00000000" w:rsidP="00000000" w:rsidRDefault="00000000" w:rsidRPr="00000000" w14:paraId="0000005A">
      <w:pPr>
        <w:rPr>
          <w:b w:val="0"/>
          <w:sz w:val="22"/>
          <w:szCs w:val="22"/>
          <w:vertAlign w:val="baseline"/>
        </w:rPr>
      </w:pPr>
      <w:r w:rsidDel="00000000" w:rsidR="00000000" w:rsidRPr="00000000">
        <w:rPr>
          <w:b w:val="1"/>
          <w:sz w:val="22"/>
          <w:szCs w:val="22"/>
          <w:vertAlign w:val="baseline"/>
          <w:rtl w:val="0"/>
        </w:rPr>
        <w:t xml:space="preserve">Conclusion of a case where the allegation is substantiated</w:t>
      </w:r>
      <w:r w:rsidDel="00000000" w:rsidR="00000000" w:rsidRPr="00000000">
        <w:rPr>
          <w:rtl w:val="0"/>
        </w:rPr>
      </w:r>
    </w:p>
    <w:p w:rsidR="00000000" w:rsidDel="00000000" w:rsidP="00000000" w:rsidRDefault="00000000" w:rsidRPr="00000000" w14:paraId="0000005B">
      <w:pPr>
        <w:rPr>
          <w:sz w:val="22"/>
          <w:szCs w:val="22"/>
          <w:vertAlign w:val="baseline"/>
        </w:rPr>
      </w:pPr>
      <w:r w:rsidDel="00000000" w:rsidR="00000000" w:rsidRPr="00000000">
        <w:rPr>
          <w:sz w:val="22"/>
          <w:szCs w:val="22"/>
          <w:vertAlign w:val="baseline"/>
          <w:rtl w:val="0"/>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rsidR="00000000" w:rsidDel="00000000" w:rsidP="00000000" w:rsidRDefault="00000000" w:rsidRPr="00000000" w14:paraId="0000005C">
      <w:pPr>
        <w:rPr>
          <w:sz w:val="22"/>
          <w:szCs w:val="22"/>
          <w:vertAlign w:val="baseline"/>
        </w:rPr>
      </w:pPr>
      <w:r w:rsidDel="00000000" w:rsidR="00000000" w:rsidRPr="00000000">
        <w:rPr>
          <w:sz w:val="22"/>
          <w:szCs w:val="22"/>
          <w:vertAlign w:val="baseline"/>
          <w:rtl w:val="0"/>
        </w:rPr>
        <w:t xml:space="preserve">If the individual concerned is a member of teaching staff, the school will consider whether to refer the matter to the Teaching Regulation Agency to consider prohibiting the individual from teaching.</w:t>
      </w:r>
    </w:p>
    <w:p w:rsidR="00000000" w:rsidDel="00000000" w:rsidP="00000000" w:rsidRDefault="00000000" w:rsidRPr="00000000" w14:paraId="0000005D">
      <w:pPr>
        <w:rPr>
          <w:b w:val="0"/>
          <w:sz w:val="22"/>
          <w:szCs w:val="22"/>
          <w:vertAlign w:val="baseline"/>
        </w:rPr>
      </w:pPr>
      <w:r w:rsidDel="00000000" w:rsidR="00000000" w:rsidRPr="00000000">
        <w:rPr>
          <w:b w:val="1"/>
          <w:sz w:val="22"/>
          <w:szCs w:val="22"/>
          <w:vertAlign w:val="baseline"/>
          <w:rtl w:val="0"/>
        </w:rPr>
        <w:t xml:space="preserve">Individuals returning to work after suspension</w:t>
      </w:r>
      <w:r w:rsidDel="00000000" w:rsidR="00000000" w:rsidRPr="00000000">
        <w:rPr>
          <w:rtl w:val="0"/>
        </w:rPr>
      </w:r>
    </w:p>
    <w:p w:rsidR="00000000" w:rsidDel="00000000" w:rsidP="00000000" w:rsidRDefault="00000000" w:rsidRPr="00000000" w14:paraId="0000005E">
      <w:pPr>
        <w:rPr>
          <w:sz w:val="22"/>
          <w:szCs w:val="22"/>
          <w:vertAlign w:val="baseline"/>
        </w:rPr>
      </w:pPr>
      <w:r w:rsidDel="00000000" w:rsidR="00000000" w:rsidRPr="00000000">
        <w:rPr>
          <w:sz w:val="22"/>
          <w:szCs w:val="22"/>
          <w:vertAlign w:val="baseline"/>
          <w:rtl w:val="0"/>
        </w:rPr>
        <w:t xml:space="preserve">If it is decided on the conclusion of a case that an individual who has been suspended can return to work, the case manager will consider how best to facilitate this.</w:t>
      </w:r>
    </w:p>
    <w:p w:rsidR="00000000" w:rsidDel="00000000" w:rsidP="00000000" w:rsidRDefault="00000000" w:rsidRPr="00000000" w14:paraId="0000005F">
      <w:pPr>
        <w:rPr>
          <w:sz w:val="22"/>
          <w:szCs w:val="22"/>
          <w:vertAlign w:val="baseline"/>
        </w:rPr>
      </w:pPr>
      <w:r w:rsidDel="00000000" w:rsidR="00000000" w:rsidRPr="00000000">
        <w:rPr>
          <w:sz w:val="22"/>
          <w:szCs w:val="22"/>
          <w:vertAlign w:val="baseline"/>
          <w:rtl w:val="0"/>
        </w:rPr>
        <w:t xml:space="preserve">The case manager will also consider how best to manage the individual’s contact with the child or children who made the allegation, if they are still attending the school.</w:t>
      </w:r>
    </w:p>
    <w:p w:rsidR="00000000" w:rsidDel="00000000" w:rsidP="00000000" w:rsidRDefault="00000000" w:rsidRPr="00000000" w14:paraId="00000060">
      <w:pPr>
        <w:rPr>
          <w:b w:val="0"/>
          <w:sz w:val="22"/>
          <w:szCs w:val="22"/>
          <w:vertAlign w:val="baseline"/>
        </w:rPr>
      </w:pPr>
      <w:r w:rsidDel="00000000" w:rsidR="00000000" w:rsidRPr="00000000">
        <w:rPr>
          <w:b w:val="1"/>
          <w:sz w:val="22"/>
          <w:szCs w:val="22"/>
          <w:vertAlign w:val="baseline"/>
          <w:rtl w:val="0"/>
        </w:rPr>
        <w:t xml:space="preserve">Unsubstantiated, unfounded, false or malicious reports</w:t>
      </w:r>
      <w:r w:rsidDel="00000000" w:rsidR="00000000" w:rsidRPr="00000000">
        <w:rPr>
          <w:rtl w:val="0"/>
        </w:rPr>
      </w:r>
    </w:p>
    <w:p w:rsidR="00000000" w:rsidDel="00000000" w:rsidP="00000000" w:rsidRDefault="00000000" w:rsidRPr="00000000" w14:paraId="00000061">
      <w:pPr>
        <w:rPr>
          <w:sz w:val="22"/>
          <w:szCs w:val="22"/>
          <w:vertAlign w:val="baseline"/>
        </w:rPr>
      </w:pPr>
      <w:r w:rsidDel="00000000" w:rsidR="00000000" w:rsidRPr="00000000">
        <w:rPr>
          <w:sz w:val="22"/>
          <w:szCs w:val="22"/>
          <w:vertAlign w:val="baseline"/>
          <w:rtl w:val="0"/>
        </w:rPr>
        <w:t xml:space="preserve">If a report is: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Shown to be deliberately invented, or malicious, the school will consider whether any disciplinary action is appropriate against the individual(s) who made it</w:t>
      </w:r>
      <w:r w:rsidDel="00000000" w:rsidR="00000000" w:rsidRPr="00000000">
        <w:rPr>
          <w:rtl w:val="0"/>
        </w:rPr>
      </w:r>
    </w:p>
    <w:p w:rsidR="00000000" w:rsidDel="00000000" w:rsidP="00000000" w:rsidRDefault="00000000" w:rsidRPr="00000000" w14:paraId="00000064">
      <w:pPr>
        <w:rPr>
          <w:b w:val="0"/>
          <w:sz w:val="22"/>
          <w:szCs w:val="22"/>
          <w:vertAlign w:val="baseline"/>
        </w:rPr>
      </w:pPr>
      <w:r w:rsidDel="00000000" w:rsidR="00000000" w:rsidRPr="00000000">
        <w:rPr>
          <w:b w:val="1"/>
          <w:sz w:val="22"/>
          <w:szCs w:val="22"/>
          <w:vertAlign w:val="baseline"/>
          <w:rtl w:val="0"/>
        </w:rPr>
        <w:t xml:space="preserve">Unsubstantiated, unfounded, false or malicious allegations</w:t>
      </w:r>
      <w:r w:rsidDel="00000000" w:rsidR="00000000" w:rsidRPr="00000000">
        <w:rPr>
          <w:rtl w:val="0"/>
        </w:rPr>
      </w:r>
    </w:p>
    <w:p w:rsidR="00000000" w:rsidDel="00000000" w:rsidP="00000000" w:rsidRDefault="00000000" w:rsidRPr="00000000" w14:paraId="00000065">
      <w:pPr>
        <w:rPr>
          <w:sz w:val="22"/>
          <w:szCs w:val="22"/>
          <w:vertAlign w:val="baseline"/>
        </w:rPr>
      </w:pPr>
      <w:r w:rsidDel="00000000" w:rsidR="00000000" w:rsidRPr="00000000">
        <w:rPr>
          <w:sz w:val="22"/>
          <w:szCs w:val="22"/>
          <w:vertAlign w:val="baseline"/>
          <w:rtl w:val="0"/>
        </w:rPr>
        <w:t xml:space="preserve">If an allegation is: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Shown to be deliberately invented, or malicious, the school will consider whether any disciplinary action is appropriate against the individual(s) who made it</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11"/>
        </w:tabs>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Confidentiality and information sharing</w:t>
        <w:tab/>
      </w:r>
    </w:p>
    <w:p w:rsidR="00000000" w:rsidDel="00000000" w:rsidP="00000000" w:rsidRDefault="00000000" w:rsidRPr="00000000" w14:paraId="00000069">
      <w:pPr>
        <w:rPr>
          <w:sz w:val="22"/>
          <w:szCs w:val="22"/>
          <w:vertAlign w:val="baseline"/>
        </w:rPr>
      </w:pPr>
      <w:r w:rsidDel="00000000" w:rsidR="00000000" w:rsidRPr="00000000">
        <w:rPr>
          <w:sz w:val="22"/>
          <w:szCs w:val="22"/>
          <w:vertAlign w:val="baseline"/>
          <w:rtl w:val="0"/>
        </w:rPr>
        <w:t xml:space="preserve">The school will make every effort to maintain confidentiality and guard against unwanted publicity while an allegation is being investigated or considered.</w:t>
      </w:r>
    </w:p>
    <w:p w:rsidR="00000000" w:rsidDel="00000000" w:rsidP="00000000" w:rsidRDefault="00000000" w:rsidRPr="00000000" w14:paraId="0000006A">
      <w:pPr>
        <w:rPr>
          <w:sz w:val="22"/>
          <w:szCs w:val="22"/>
          <w:vertAlign w:val="baseline"/>
        </w:rPr>
      </w:pPr>
      <w:r w:rsidDel="00000000" w:rsidR="00000000" w:rsidRPr="00000000">
        <w:rPr>
          <w:sz w:val="22"/>
          <w:szCs w:val="22"/>
          <w:vertAlign w:val="baseline"/>
          <w:rtl w:val="0"/>
        </w:rPr>
        <w:t xml:space="preserve">The case manager will take advice from the LADO, police and children’s social care services, as appropriate, to agree:</w:t>
      </w:r>
    </w:p>
    <w:p w:rsidR="00000000" w:rsidDel="00000000" w:rsidP="00000000" w:rsidRDefault="00000000" w:rsidRPr="00000000" w14:paraId="0000006B">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Who needs to know about the allegation and what information can be shared</w:t>
      </w:r>
    </w:p>
    <w:p w:rsidR="00000000" w:rsidDel="00000000" w:rsidP="00000000" w:rsidRDefault="00000000" w:rsidRPr="00000000" w14:paraId="0000006C">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How to manage speculation, leaks and gossip, including how to make parents or carers of a child/children involved aware of their obligations with respect to confidentiality </w:t>
      </w:r>
    </w:p>
    <w:p w:rsidR="00000000" w:rsidDel="00000000" w:rsidP="00000000" w:rsidRDefault="00000000" w:rsidRPr="00000000" w14:paraId="0000006D">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What, if any, information can be reasonably given to the wider community to reduce speculation</w:t>
      </w:r>
    </w:p>
    <w:p w:rsidR="00000000" w:rsidDel="00000000" w:rsidP="00000000" w:rsidRDefault="00000000" w:rsidRPr="00000000" w14:paraId="0000006E">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How to manage press interest if, and when, it arises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Record-keeping</w:t>
      </w:r>
    </w:p>
    <w:p w:rsidR="00000000" w:rsidDel="00000000" w:rsidP="00000000" w:rsidRDefault="00000000" w:rsidRPr="00000000" w14:paraId="00000070">
      <w:pPr>
        <w:rPr>
          <w:sz w:val="22"/>
          <w:szCs w:val="22"/>
          <w:vertAlign w:val="baseline"/>
        </w:rPr>
      </w:pPr>
      <w:r w:rsidDel="00000000" w:rsidR="00000000" w:rsidRPr="00000000">
        <w:rPr>
          <w:sz w:val="22"/>
          <w:szCs w:val="22"/>
          <w:vertAlign w:val="baseline"/>
          <w:rtl w:val="0"/>
        </w:rPr>
        <w:t xml:space="preserve">The case manager will maintain clear records about any case where the allegation or concern meets the criteria above and store them on the individual’s confidential personnel file for the duration of the case. </w:t>
      </w:r>
    </w:p>
    <w:p w:rsidR="00000000" w:rsidDel="00000000" w:rsidP="00000000" w:rsidRDefault="00000000" w:rsidRPr="00000000" w14:paraId="00000071">
      <w:pPr>
        <w:rPr>
          <w:sz w:val="22"/>
          <w:szCs w:val="22"/>
          <w:vertAlign w:val="baseline"/>
        </w:rPr>
      </w:pPr>
      <w:r w:rsidDel="00000000" w:rsidR="00000000" w:rsidRPr="00000000">
        <w:rPr>
          <w:sz w:val="22"/>
          <w:szCs w:val="22"/>
          <w:vertAlign w:val="baseline"/>
          <w:rtl w:val="0"/>
        </w:rPr>
        <w:t xml:space="preserve">The records of any allegation that, following an investigation, is found to be malicious or false will be deleted from the individual’s personnel file (unless the individual consents for the records to be retained on the file).</w:t>
      </w:r>
    </w:p>
    <w:p w:rsidR="00000000" w:rsidDel="00000000" w:rsidP="00000000" w:rsidRDefault="00000000" w:rsidRPr="00000000" w14:paraId="00000072">
      <w:pPr>
        <w:rPr>
          <w:sz w:val="22"/>
          <w:szCs w:val="22"/>
          <w:vertAlign w:val="baseline"/>
        </w:rPr>
      </w:pPr>
      <w:r w:rsidDel="00000000" w:rsidR="00000000" w:rsidRPr="00000000">
        <w:rPr>
          <w:sz w:val="22"/>
          <w:szCs w:val="22"/>
          <w:vertAlign w:val="baseline"/>
          <w:rtl w:val="0"/>
        </w:rPr>
        <w:t xml:space="preserve">For all other allegations (which are not found to be malicious or false), the following information will be kept on the file of the individual concerned:</w:t>
      </w:r>
    </w:p>
    <w:p w:rsidR="00000000" w:rsidDel="00000000" w:rsidP="00000000" w:rsidRDefault="00000000" w:rsidRPr="00000000" w14:paraId="00000073">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A clear and comprehensive summary of the allegation</w:t>
      </w:r>
    </w:p>
    <w:p w:rsidR="00000000" w:rsidDel="00000000" w:rsidP="00000000" w:rsidRDefault="00000000" w:rsidRPr="00000000" w14:paraId="00000074">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Details of how the allegation was followed up and resolved</w:t>
      </w:r>
    </w:p>
    <w:p w:rsidR="00000000" w:rsidDel="00000000" w:rsidP="00000000" w:rsidRDefault="00000000" w:rsidRPr="00000000" w14:paraId="00000075">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Notes of any action taken, decisions reached and the outcome </w:t>
      </w:r>
    </w:p>
    <w:p w:rsidR="00000000" w:rsidDel="00000000" w:rsidP="00000000" w:rsidRDefault="00000000" w:rsidRPr="00000000" w14:paraId="00000076">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A declaration on whether the information will be referred to in any future reference</w:t>
      </w:r>
    </w:p>
    <w:p w:rsidR="00000000" w:rsidDel="00000000" w:rsidP="00000000" w:rsidRDefault="00000000" w:rsidRPr="00000000" w14:paraId="00000077">
      <w:pPr>
        <w:rPr>
          <w:sz w:val="22"/>
          <w:szCs w:val="22"/>
          <w:vertAlign w:val="baseline"/>
        </w:rPr>
      </w:pPr>
      <w:r w:rsidDel="00000000" w:rsidR="00000000" w:rsidRPr="00000000">
        <w:rPr>
          <w:sz w:val="22"/>
          <w:szCs w:val="22"/>
          <w:vertAlign w:val="baseline"/>
          <w:rtl w:val="0"/>
        </w:rPr>
        <w:t xml:space="preserve">In these cases, the school will provide a copy to the individual, in agreement with children’s social care or the police as appropriate.</w:t>
      </w:r>
    </w:p>
    <w:p w:rsidR="00000000" w:rsidDel="00000000" w:rsidP="00000000" w:rsidRDefault="00000000" w:rsidRPr="00000000" w14:paraId="00000078">
      <w:pPr>
        <w:rPr>
          <w:sz w:val="22"/>
          <w:szCs w:val="22"/>
          <w:vertAlign w:val="baseline"/>
        </w:rPr>
      </w:pPr>
      <w:r w:rsidDel="00000000" w:rsidR="00000000" w:rsidRPr="00000000">
        <w:rPr>
          <w:sz w:val="22"/>
          <w:szCs w:val="22"/>
          <w:vertAlign w:val="baseline"/>
          <w:rtl w:val="0"/>
        </w:rPr>
        <w:t xml:space="preserve">We will retain all records at least until the accused individual has reached normal pension age, or for 10 years from the date of the allegation if that is longer.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References</w:t>
      </w:r>
    </w:p>
    <w:p w:rsidR="00000000" w:rsidDel="00000000" w:rsidP="00000000" w:rsidRDefault="00000000" w:rsidRPr="00000000" w14:paraId="0000007A">
      <w:pPr>
        <w:rPr>
          <w:sz w:val="22"/>
          <w:szCs w:val="22"/>
          <w:vertAlign w:val="baseline"/>
        </w:rPr>
      </w:pPr>
      <w:r w:rsidDel="00000000" w:rsidR="00000000" w:rsidRPr="00000000">
        <w:rPr>
          <w:sz w:val="22"/>
          <w:szCs w:val="22"/>
          <w:vertAlign w:val="baseline"/>
          <w:rtl w:val="0"/>
        </w:rPr>
        <w:t xml:space="preserve">When providing employer references, we will:</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refer to any allegation that has been found to be false, unfounded, unsubstantiated or malicious, or any repeated allegations which have all been found to be false, unfounded, unsubstantiated or malicious</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substantiated allegations, provided that the information is factual and does not include opinions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Learning lessons</w:t>
      </w:r>
    </w:p>
    <w:p w:rsidR="00000000" w:rsidDel="00000000" w:rsidP="00000000" w:rsidRDefault="00000000" w:rsidRPr="00000000" w14:paraId="0000007E">
      <w:pPr>
        <w:rPr>
          <w:sz w:val="22"/>
          <w:szCs w:val="22"/>
          <w:vertAlign w:val="baseline"/>
        </w:rPr>
      </w:pPr>
      <w:r w:rsidDel="00000000" w:rsidR="00000000" w:rsidRPr="00000000">
        <w:rPr>
          <w:sz w:val="22"/>
          <w:szCs w:val="22"/>
          <w:vertAlign w:val="baseline"/>
          <w:rtl w:val="0"/>
        </w:rPr>
        <w:t xml:space="preserve">After any cases where the allegations are </w:t>
      </w:r>
      <w:r w:rsidDel="00000000" w:rsidR="00000000" w:rsidRPr="00000000">
        <w:rPr>
          <w:i w:val="1"/>
          <w:sz w:val="22"/>
          <w:szCs w:val="22"/>
          <w:vertAlign w:val="baseline"/>
          <w:rtl w:val="0"/>
        </w:rPr>
        <w:t xml:space="preserve">substantiated</w:t>
      </w:r>
      <w:r w:rsidDel="00000000" w:rsidR="00000000" w:rsidRPr="00000000">
        <w:rPr>
          <w:sz w:val="22"/>
          <w:szCs w:val="22"/>
          <w:vertAlign w:val="baseline"/>
          <w:rtl w:val="0"/>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rsidR="00000000" w:rsidDel="00000000" w:rsidP="00000000" w:rsidRDefault="00000000" w:rsidRPr="00000000" w14:paraId="0000007F">
      <w:pPr>
        <w:rPr>
          <w:sz w:val="22"/>
          <w:szCs w:val="22"/>
          <w:vertAlign w:val="baseline"/>
        </w:rPr>
      </w:pPr>
      <w:r w:rsidDel="00000000" w:rsidR="00000000" w:rsidRPr="00000000">
        <w:rPr>
          <w:sz w:val="22"/>
          <w:szCs w:val="22"/>
          <w:vertAlign w:val="baseline"/>
          <w:rtl w:val="0"/>
        </w:rPr>
        <w:t xml:space="preserve">This will include consideration of (as applicable):</w:t>
      </w:r>
    </w:p>
    <w:p w:rsidR="00000000" w:rsidDel="00000000" w:rsidP="00000000" w:rsidRDefault="00000000" w:rsidRPr="00000000" w14:paraId="00000080">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Issues arising from the decision to suspend the member of staff</w:t>
      </w:r>
    </w:p>
    <w:p w:rsidR="00000000" w:rsidDel="00000000" w:rsidP="00000000" w:rsidRDefault="00000000" w:rsidRPr="00000000" w14:paraId="00000081">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The duration of the suspension</w:t>
      </w:r>
    </w:p>
    <w:p w:rsidR="00000000" w:rsidDel="00000000" w:rsidP="00000000" w:rsidRDefault="00000000" w:rsidRPr="00000000" w14:paraId="00000082">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Whether or not the suspension was justified </w:t>
      </w:r>
    </w:p>
    <w:p w:rsidR="00000000" w:rsidDel="00000000" w:rsidP="00000000" w:rsidRDefault="00000000" w:rsidRPr="00000000" w14:paraId="00000083">
      <w:pPr>
        <w:numPr>
          <w:ilvl w:val="0"/>
          <w:numId w:val="2"/>
        </w:numPr>
        <w:spacing w:before="120" w:lineRule="auto"/>
        <w:ind w:left="568" w:hanging="284"/>
        <w:rPr>
          <w:sz w:val="22"/>
          <w:szCs w:val="22"/>
          <w:vertAlign w:val="baseline"/>
        </w:rPr>
      </w:pPr>
      <w:r w:rsidDel="00000000" w:rsidR="00000000" w:rsidRPr="00000000">
        <w:rPr>
          <w:sz w:val="22"/>
          <w:szCs w:val="22"/>
          <w:vertAlign w:val="baseline"/>
          <w:rtl w:val="0"/>
        </w:rPr>
        <w:t xml:space="preserve">The use of suspension when the individual is subsequently reinstated. We will consider how future investigations of a similar nature could be carried out without suspending the individual</w:t>
      </w:r>
    </w:p>
    <w:p w:rsidR="00000000" w:rsidDel="00000000" w:rsidP="00000000" w:rsidRDefault="00000000" w:rsidRPr="00000000" w14:paraId="00000084">
      <w:pPr>
        <w:spacing w:before="120" w:lineRule="auto"/>
        <w:rPr>
          <w:sz w:val="22"/>
          <w:szCs w:val="22"/>
          <w:vertAlign w:val="baseline"/>
        </w:rPr>
      </w:pPr>
      <w:r w:rsidDel="00000000" w:rsidR="00000000" w:rsidRPr="00000000">
        <w:rPr>
          <w:sz w:val="22"/>
          <w:szCs w:val="22"/>
          <w:vertAlign w:val="baseline"/>
          <w:rtl w:val="0"/>
        </w:rPr>
        <w:t xml:space="preserve">For all other cases, the case manager will consider the facts and determine whether any improvements can be made.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Non-recent allegations</w:t>
      </w:r>
    </w:p>
    <w:p w:rsidR="00000000" w:rsidDel="00000000" w:rsidP="00000000" w:rsidRDefault="00000000" w:rsidRPr="00000000" w14:paraId="00000086">
      <w:pPr>
        <w:spacing w:before="120" w:lineRule="auto"/>
        <w:rPr>
          <w:sz w:val="22"/>
          <w:szCs w:val="22"/>
          <w:vertAlign w:val="baseline"/>
        </w:rPr>
      </w:pPr>
      <w:r w:rsidDel="00000000" w:rsidR="00000000" w:rsidRPr="00000000">
        <w:rPr>
          <w:sz w:val="22"/>
          <w:szCs w:val="22"/>
          <w:vertAlign w:val="baseline"/>
          <w:rtl w:val="0"/>
        </w:rPr>
        <w:t xml:space="preserve">Abuse can be reported, no matter how long ago it happened.</w:t>
      </w:r>
    </w:p>
    <w:p w:rsidR="00000000" w:rsidDel="00000000" w:rsidP="00000000" w:rsidRDefault="00000000" w:rsidRPr="00000000" w14:paraId="00000087">
      <w:pPr>
        <w:spacing w:before="120" w:lineRule="auto"/>
        <w:rPr>
          <w:sz w:val="22"/>
          <w:szCs w:val="22"/>
          <w:vertAlign w:val="baseline"/>
        </w:rPr>
      </w:pPr>
      <w:r w:rsidDel="00000000" w:rsidR="00000000" w:rsidRPr="00000000">
        <w:rPr>
          <w:sz w:val="22"/>
          <w:szCs w:val="22"/>
          <w:vertAlign w:val="baseline"/>
          <w:rtl w:val="0"/>
        </w:rPr>
        <w:t xml:space="preserve">We will report any non-recent allegations made by a child to the LADO in line with our local authority’s procedures for dealing with non-recent allegations.</w:t>
      </w:r>
    </w:p>
    <w:p w:rsidR="00000000" w:rsidDel="00000000" w:rsidP="00000000" w:rsidRDefault="00000000" w:rsidRPr="00000000" w14:paraId="00000088">
      <w:pPr>
        <w:spacing w:before="120" w:lineRule="auto"/>
        <w:rPr>
          <w:sz w:val="22"/>
          <w:szCs w:val="22"/>
          <w:vertAlign w:val="baseline"/>
        </w:rPr>
      </w:pPr>
      <w:r w:rsidDel="00000000" w:rsidR="00000000" w:rsidRPr="00000000">
        <w:rPr>
          <w:sz w:val="22"/>
          <w:szCs w:val="22"/>
          <w:vertAlign w:val="baseline"/>
          <w:rtl w:val="0"/>
        </w:rPr>
        <w:t xml:space="preserve">Where an adult makes an allegation to the school that they were abused as a child, we will advise the individual to report the allegation to the police.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Section 2: concerns that do not meet the harm threshold</w:t>
      </w:r>
    </w:p>
    <w:p w:rsidR="00000000" w:rsidDel="00000000" w:rsidP="00000000" w:rsidRDefault="00000000" w:rsidRPr="00000000" w14:paraId="0000008A">
      <w:pPr>
        <w:rPr>
          <w:sz w:val="22"/>
          <w:szCs w:val="22"/>
          <w:highlight w:val="yellow"/>
        </w:rPr>
      </w:pPr>
      <w:r w:rsidDel="00000000" w:rsidR="00000000" w:rsidRPr="00000000">
        <w:rPr>
          <w:sz w:val="22"/>
          <w:szCs w:val="22"/>
          <w:highlight w:val="yellow"/>
          <w:vertAlign w:val="baseline"/>
          <w:rtl w:val="0"/>
        </w:rPr>
        <w:t xml:space="preserve">The section is based on ‘Section 2: Concerns that do not meet the harm threshold’ in part 4 of Keeping Children Safe in Education.</w:t>
      </w:r>
      <w:r w:rsidDel="00000000" w:rsidR="00000000" w:rsidRPr="00000000">
        <w:rPr>
          <w:rtl w:val="0"/>
        </w:rPr>
      </w:r>
    </w:p>
    <w:p w:rsidR="00000000" w:rsidDel="00000000" w:rsidP="00000000" w:rsidRDefault="00000000" w:rsidRPr="00000000" w14:paraId="0000008B">
      <w:pPr>
        <w:rPr>
          <w:sz w:val="22"/>
          <w:szCs w:val="22"/>
          <w:vertAlign w:val="baseline"/>
        </w:rPr>
      </w:pPr>
      <w:r w:rsidDel="00000000" w:rsidR="00000000" w:rsidRPr="00000000">
        <w:rPr>
          <w:sz w:val="22"/>
          <w:szCs w:val="22"/>
          <w:vertAlign w:val="baseline"/>
          <w:rtl w:val="0"/>
        </w:rPr>
        <w:t xml:space="preserve">This section applies to all concerns (including allegations) about members of staff, including supply teachers, volunteers and contractors, which do not meet the harm threshold set out in section 1 above.</w:t>
      </w:r>
    </w:p>
    <w:p w:rsidR="00000000" w:rsidDel="00000000" w:rsidP="00000000" w:rsidRDefault="00000000" w:rsidRPr="00000000" w14:paraId="0000008C">
      <w:pPr>
        <w:rPr>
          <w:sz w:val="22"/>
          <w:szCs w:val="22"/>
          <w:vertAlign w:val="baseline"/>
        </w:rPr>
      </w:pPr>
      <w:r w:rsidDel="00000000" w:rsidR="00000000" w:rsidRPr="00000000">
        <w:rPr>
          <w:sz w:val="22"/>
          <w:szCs w:val="22"/>
          <w:vertAlign w:val="baseline"/>
          <w:rtl w:val="0"/>
        </w:rPr>
        <w:t xml:space="preserve">Concerns may arise through, for example: </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Suspicion</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Complaint</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concern or allegation from another member of staff </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Disclosure made by a child, parent or other adult within or outside the school</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Pre-employment vetting checks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the importance of responding to and dealing with any concerns in a timely manner to safeguard the welfare of children.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Definition of low-level concerns</w:t>
      </w:r>
    </w:p>
    <w:p w:rsidR="00000000" w:rsidDel="00000000" w:rsidP="00000000" w:rsidRDefault="00000000" w:rsidRPr="00000000" w14:paraId="00000094">
      <w:pPr>
        <w:rPr>
          <w:sz w:val="22"/>
          <w:szCs w:val="22"/>
          <w:vertAlign w:val="baseline"/>
        </w:rPr>
      </w:pPr>
      <w:r w:rsidDel="00000000" w:rsidR="00000000" w:rsidRPr="00000000">
        <w:rPr>
          <w:sz w:val="22"/>
          <w:szCs w:val="22"/>
          <w:vertAlign w:val="baseline"/>
          <w:rtl w:val="0"/>
        </w:rPr>
        <w:t xml:space="preserve">The term ‘low-level’ concern is any concern – no matter how small – that an adult working in or on behalf of the school may have acted in a way that:</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inconsistent with the staff code of conduct, including inappropriate conduct outside of work,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not meet the allegations threshold or is otherwise not considered serious enough to consider a referral to the designated officer at the local authority</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such behaviour could include, but are not limited to:</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overly friendly with children</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Having favourites</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photographs of children on their mobile phone</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Engaging with a child on a one-to-one basis in a secluded area or behind a closed door</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Humiliating pupils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Sharing low-level concerns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the importance of creating a culture of openness, trust and transparency to encourage all staff to confidentially share low-level concerns so that they can be addressed appropriately.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create this culture by: </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staff are clear about what appropriate behaviour is, and are confident in distinguishing expected and appropriate behaviour from concerning, problematic or inappropriate behaviour, in themselves and others</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Empowering staff to share any low-level concerns as per section 7.7 of this policy</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Empowering staff to self-refer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Addressing unprofessional behaviour and supporting the individual to correct it at an early stage</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a responsive, sensitive and proportionate handling of such concerns when they are raised</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Helping to identify any weakness in the school’s safeguarding system</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Responding to low-level concerns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concern is raised via a third party, the headteacher will collect evidence where necessary by speaking:</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Directly to the person who raised the concern, unless it has been raised anonymously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individual involved and any witnesses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headteacher will use the information collected to categorise the type of behaviour and determine any further action, in line with the school’s code of conduct. The headteacher will be the ultimate decision-maker in respect of all low-level concerns, though they may wish to collaborate with the DSL.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2lwamvv" w:id="0"/>
      <w:bookmarkEnd w:id="0"/>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Keeping Children Safe in Education also links to this report for more information </w:t>
      </w:r>
      <w:hyperlink r:id="rId14">
        <w:r w:rsidDel="00000000" w:rsidR="00000000" w:rsidRPr="00000000">
          <w:rPr>
            <w:rFonts w:ascii="Arial" w:cs="Arial" w:eastAsia="Arial" w:hAnsi="Arial"/>
            <w:b w:val="0"/>
            <w:i w:val="0"/>
            <w:smallCaps w:val="0"/>
            <w:strike w:val="0"/>
            <w:color w:val="0072cc"/>
            <w:sz w:val="22"/>
            <w:szCs w:val="22"/>
            <w:highlight w:val="yellow"/>
            <w:u w:val="single"/>
            <w:vertAlign w:val="baseline"/>
            <w:rtl w:val="0"/>
          </w:rPr>
          <w:t xml:space="preserve">Developing and implementing a low-level concerns policy: A guide for organisations which work with children</w:t>
        </w:r>
      </w:hyperlink>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Record keeping</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low-level concerns will be recorded in writing. In addition to details of the concern raised, records will include the context in which the concern arose, any action taken and the rationale for decisions and action taken.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Records will be:</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Kept confidential, held securely and comply with the DPA 2018 and UK GDPR</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Retained at least until the individual leaves employment at the school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low-level concern relates to a supply teacher or contractor, we will notify the individual’s employer, so any potential patterns of inappropriate behaviour can be identified.</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i w:val="0"/>
          <w:smallCaps w:val="0"/>
          <w:strike w:val="0"/>
          <w:color w:val="12263f"/>
          <w:sz w:val="26"/>
          <w:szCs w:val="26"/>
          <w:u w:val="none"/>
          <w:shd w:fill="auto" w:val="clear"/>
          <w:vertAlign w:val="baseline"/>
        </w:rPr>
      </w:pPr>
      <w:r w:rsidDel="00000000" w:rsidR="00000000" w:rsidRPr="00000000">
        <w:rPr>
          <w:rFonts w:ascii="Arial" w:cs="Arial" w:eastAsia="Arial" w:hAnsi="Arial"/>
          <w:b w:val="1"/>
          <w:i w:val="0"/>
          <w:smallCaps w:val="0"/>
          <w:strike w:val="0"/>
          <w:color w:val="12263f"/>
          <w:sz w:val="26"/>
          <w:szCs w:val="26"/>
          <w:u w:val="none"/>
          <w:shd w:fill="auto" w:val="clear"/>
          <w:vertAlign w:val="baseline"/>
          <w:rtl w:val="0"/>
        </w:rPr>
        <w:t xml:space="preserve">References</w:t>
      </w:r>
      <w:r w:rsidDel="00000000" w:rsidR="00000000" w:rsidRPr="00000000">
        <w:rPr>
          <w:rFonts w:ascii="Arial" w:cs="Arial" w:eastAsia="Arial" w:hAnsi="Arial"/>
          <w:b w:val="0"/>
          <w:i w:val="0"/>
          <w:smallCaps w:val="0"/>
          <w:strike w:val="0"/>
          <w:color w:val="12263f"/>
          <w:sz w:val="26"/>
          <w:szCs w:val="26"/>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not include low-level concerns in references unless:</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concern (or group of concerns) has met the threshold for referral to the designated officer at the local authority and is found to be substantiated; and/or</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concern (or group of concerns) relates to issues which would ordinarily be included in a reference, such as misconduct or poor performance</w:t>
      </w:r>
      <w:r w:rsidDel="00000000" w:rsidR="00000000" w:rsidRPr="00000000">
        <w:rPr>
          <w:rtl w:val="0"/>
        </w:rPr>
      </w:r>
    </w:p>
    <w:p w:rsidR="00000000" w:rsidDel="00000000" w:rsidP="00000000" w:rsidRDefault="00000000" w:rsidRPr="00000000" w14:paraId="000000B7">
      <w:pPr>
        <w:pStyle w:val="Heading3"/>
        <w:rPr>
          <w:rFonts w:ascii="Arial" w:cs="Arial" w:eastAsia="Arial" w:hAnsi="Arial"/>
          <w:b w:val="1"/>
          <w:i w:val="0"/>
          <w:smallCaps w:val="0"/>
          <w:strike w:val="0"/>
          <w:color w:val="000000"/>
          <w:sz w:val="74"/>
          <w:szCs w:val="74"/>
          <w:u w:val="none"/>
          <w:shd w:fill="auto" w:val="clear"/>
          <w:vertAlign w:val="baseline"/>
        </w:rPr>
      </w:pPr>
      <w:bookmarkStart w:colFirst="0" w:colLast="0" w:name="_heading=h.111kx3o" w:id="1"/>
      <w:bookmarkEnd w:id="1"/>
      <w:r w:rsidDel="00000000" w:rsidR="00000000" w:rsidRPr="00000000">
        <w:rPr>
          <w:rtl w:val="0"/>
        </w:rPr>
      </w:r>
    </w:p>
    <w:sectPr>
      <w:type w:val="nextPage"/>
      <w:pgSz w:h="16840" w:w="11900" w:orient="portrait"/>
      <w:pgMar w:bottom="1701" w:top="992" w:left="1077" w:right="1077" w:header="567" w:footer="22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2"/>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BF">
          <w:pPr>
            <w:shd w:fill="ffffff" w:val="clear"/>
            <w:rPr>
              <w:color w:val="808080"/>
              <w:sz w:val="16"/>
              <w:szCs w:val="16"/>
              <w:vertAlign w:val="baseline"/>
            </w:rPr>
          </w:pPr>
          <w:r w:rsidDel="00000000" w:rsidR="00000000" w:rsidRPr="00000000">
            <w:rPr>
              <w:color w:val="7c7c7c"/>
              <w:sz w:val="16"/>
              <w:szCs w:val="16"/>
              <w:vertAlign w:val="baseline"/>
              <w:rtl w:val="0"/>
            </w:rPr>
            <w:t xml:space="preserve">Get the knowledge you need to act at </w:t>
          </w:r>
          <w:hyperlink r:id="rId1">
            <w:r w:rsidDel="00000000" w:rsidR="00000000" w:rsidRPr="00000000">
              <w:rPr>
                <w:color w:val="7c7c7c"/>
                <w:sz w:val="16"/>
                <w:szCs w:val="16"/>
                <w:u w:val="single"/>
                <w:vertAlign w:val="baseline"/>
                <w:rtl w:val="0"/>
              </w:rPr>
              <w:t xml:space="preserve">thekeysupport.com</w:t>
            </w:r>
          </w:hyperlink>
          <w:r w:rsidDel="00000000" w:rsidR="00000000" w:rsidRPr="00000000">
            <w:rPr>
              <w:color w:val="7c7c7c"/>
              <w:sz w:val="16"/>
              <w:szCs w:val="16"/>
              <w:u w:val="single"/>
              <w:vertAlign w:val="baseline"/>
              <w:rtl w:val="0"/>
            </w:rPr>
            <w:br w:type="textWrapping"/>
          </w:r>
          <w:r w:rsidDel="00000000" w:rsidR="00000000" w:rsidRPr="00000000">
            <w:rPr>
              <w:color w:val="7c7c7c"/>
              <w:sz w:val="16"/>
              <w:szCs w:val="16"/>
              <w:vertAlign w:val="baseline"/>
              <w:rtl w:val="0"/>
            </w:rPr>
            <w:t xml:space="preserve">© The Key </w:t>
          </w:r>
          <w:r w:rsidDel="00000000" w:rsidR="00000000" w:rsidRPr="00000000">
            <w:rPr>
              <w:color w:val="7c7c7c"/>
              <w:sz w:val="16"/>
              <w:szCs w:val="16"/>
              <w:highlight w:val="white"/>
              <w:vertAlign w:val="baseline"/>
              <w:rtl w:val="0"/>
            </w:rPr>
            <w:t xml:space="preserve">Support</w:t>
          </w:r>
          <w:r w:rsidDel="00000000" w:rsidR="00000000" w:rsidRPr="00000000">
            <w:rPr>
              <w:color w:val="7c7c7c"/>
              <w:sz w:val="16"/>
              <w:szCs w:val="16"/>
              <w:vertAlign w:val="baseline"/>
              <w:rtl w:val="0"/>
            </w:rPr>
            <w:t xml:space="preserve"> Services Ltd | For terms of use, visit </w:t>
          </w:r>
          <w:hyperlink r:id="rId2">
            <w:r w:rsidDel="00000000" w:rsidR="00000000" w:rsidRPr="00000000">
              <w:rPr>
                <w:color w:val="7c7c7c"/>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C0">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C4">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C5">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rPr>
        <w:vertAlign w:val="baseline"/>
      </w:rPr>
    </w:pP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3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170"/>
      </w:pPr>
      <w:rPr>
        <w:rFonts w:ascii="Noto Sans Symbols" w:cs="Noto Sans Symbols" w:eastAsia="Noto Sans Symbols" w:hAnsi="Noto Sans Symbols"/>
        <w:color w:val="000000"/>
        <w:sz w:val="10"/>
        <w:szCs w:val="1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644" w:hanging="359.9999999999998"/>
      </w:pPr>
      <w:rPr>
        <w:rFonts w:ascii="Noto Sans Symbols" w:cs="Noto Sans Symbols" w:eastAsia="Noto Sans Symbols" w:hAnsi="Noto Sans Symbols"/>
        <w:vertAlign w:val="baseline"/>
      </w:rPr>
    </w:lvl>
    <w:lvl w:ilvl="1">
      <w:start w:val="1"/>
      <w:numFmt w:val="bullet"/>
      <w:lvlText w:val="o"/>
      <w:lvlJc w:val="left"/>
      <w:pPr>
        <w:ind w:left="1364" w:hanging="360"/>
      </w:pPr>
      <w:rPr>
        <w:rFonts w:ascii="Courier New" w:cs="Courier New" w:eastAsia="Courier New" w:hAnsi="Courier New"/>
        <w:vertAlign w:val="baseline"/>
      </w:rPr>
    </w:lvl>
    <w:lvl w:ilvl="2">
      <w:start w:val="1"/>
      <w:numFmt w:val="bullet"/>
      <w:lvlText w:val="▪"/>
      <w:lvlJc w:val="left"/>
      <w:pPr>
        <w:ind w:left="2084" w:hanging="360"/>
      </w:pPr>
      <w:rPr>
        <w:rFonts w:ascii="Noto Sans Symbols" w:cs="Noto Sans Symbols" w:eastAsia="Noto Sans Symbols" w:hAnsi="Noto Sans Symbols"/>
        <w:vertAlign w:val="baseline"/>
      </w:rPr>
    </w:lvl>
    <w:lvl w:ilvl="3">
      <w:start w:val="1"/>
      <w:numFmt w:val="bullet"/>
      <w:lvlText w:val="●"/>
      <w:lvlJc w:val="left"/>
      <w:pPr>
        <w:ind w:left="2804" w:hanging="360"/>
      </w:pPr>
      <w:rPr>
        <w:rFonts w:ascii="Noto Sans Symbols" w:cs="Noto Sans Symbols" w:eastAsia="Noto Sans Symbols" w:hAnsi="Noto Sans Symbols"/>
        <w:vertAlign w:val="baseline"/>
      </w:rPr>
    </w:lvl>
    <w:lvl w:ilvl="4">
      <w:start w:val="1"/>
      <w:numFmt w:val="bullet"/>
      <w:lvlText w:val="o"/>
      <w:lvlJc w:val="left"/>
      <w:pPr>
        <w:ind w:left="3524" w:hanging="360"/>
      </w:pPr>
      <w:rPr>
        <w:rFonts w:ascii="Courier New" w:cs="Courier New" w:eastAsia="Courier New" w:hAnsi="Courier New"/>
        <w:vertAlign w:val="baseline"/>
      </w:rPr>
    </w:lvl>
    <w:lvl w:ilvl="5">
      <w:start w:val="1"/>
      <w:numFmt w:val="bullet"/>
      <w:lvlText w:val="▪"/>
      <w:lvlJc w:val="left"/>
      <w:pPr>
        <w:ind w:left="4244" w:hanging="360"/>
      </w:pPr>
      <w:rPr>
        <w:rFonts w:ascii="Noto Sans Symbols" w:cs="Noto Sans Symbols" w:eastAsia="Noto Sans Symbols" w:hAnsi="Noto Sans Symbols"/>
        <w:vertAlign w:val="baseline"/>
      </w:rPr>
    </w:lvl>
    <w:lvl w:ilvl="6">
      <w:start w:val="1"/>
      <w:numFmt w:val="bullet"/>
      <w:lvlText w:val="●"/>
      <w:lvlJc w:val="left"/>
      <w:pPr>
        <w:ind w:left="4964" w:hanging="360"/>
      </w:pPr>
      <w:rPr>
        <w:rFonts w:ascii="Noto Sans Symbols" w:cs="Noto Sans Symbols" w:eastAsia="Noto Sans Symbols" w:hAnsi="Noto Sans Symbols"/>
        <w:vertAlign w:val="baseline"/>
      </w:rPr>
    </w:lvl>
    <w:lvl w:ilvl="7">
      <w:start w:val="1"/>
      <w:numFmt w:val="bullet"/>
      <w:lvlText w:val="o"/>
      <w:lvlJc w:val="left"/>
      <w:pPr>
        <w:ind w:left="5684" w:hanging="360"/>
      </w:pPr>
      <w:rPr>
        <w:rFonts w:ascii="Courier New" w:cs="Courier New" w:eastAsia="Courier New" w:hAnsi="Courier New"/>
        <w:vertAlign w:val="baseline"/>
      </w:rPr>
    </w:lvl>
    <w:lvl w:ilvl="8">
      <w:start w:val="1"/>
      <w:numFmt w:val="bullet"/>
      <w:lvlText w:val="▪"/>
      <w:lvlJc w:val="left"/>
      <w:pPr>
        <w:ind w:left="6404"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
    <w:name w:val="Heading 1"/>
    <w:basedOn w:val="Normal"/>
    <w:next w:val="6Abstract"/>
    <w:autoRedefine w:val="0"/>
    <w:hidden w:val="0"/>
    <w:qFormat w:val="0"/>
    <w:pPr>
      <w:suppressAutoHyphens w:val="1"/>
      <w:spacing w:after="120" w:before="120" w:line="1" w:lineRule="atLeast"/>
      <w:ind w:leftChars="-1" w:rightChars="0" w:firstLineChars="-1"/>
      <w:textDirection w:val="btLr"/>
      <w:textAlignment w:val="top"/>
      <w:outlineLvl w:val="0"/>
    </w:pPr>
    <w:rPr>
      <w:b w:val="1"/>
      <w:color w:val="ff1f64"/>
      <w:w w:val="100"/>
      <w:position w:val="-1"/>
      <w:sz w:val="28"/>
      <w:szCs w:val="36"/>
      <w:effect w:val="none"/>
      <w:vertAlign w:val="baseline"/>
      <w:cs w:val="0"/>
      <w:em w:val="none"/>
      <w:lang w:bidi="ar-SA" w:eastAsia="en-US" w:val="en-GB"/>
    </w:rPr>
  </w:style>
  <w:style w:type="paragraph" w:styleId="Heading2">
    <w:name w:val="Heading 2"/>
    <w:basedOn w:val="2Subheadpink"/>
    <w:next w:val="Normal"/>
    <w:autoRedefine w:val="0"/>
    <w:hidden w:val="0"/>
    <w:qFormat w:val="0"/>
    <w:pPr>
      <w:keepNext w:val="1"/>
      <w:keepLines w:val="1"/>
      <w:suppressAutoHyphens w:val="1"/>
      <w:spacing w:after="120" w:before="120" w:line="259" w:lineRule="auto"/>
      <w:ind w:leftChars="-1" w:rightChars="0" w:firstLineChars="-1"/>
      <w:textDirection w:val="btLr"/>
      <w:textAlignment w:val="top"/>
      <w:outlineLvl w:val="1"/>
    </w:pPr>
    <w:rPr>
      <w:b w:val="1"/>
      <w:color w:val="0d1c2f"/>
      <w:w w:val="100"/>
      <w:position w:val="-1"/>
      <w:sz w:val="24"/>
      <w:szCs w:val="26"/>
      <w:effect w:val="none"/>
      <w:vertAlign w:val="baseline"/>
      <w:cs w:val="0"/>
      <w:em w:val="none"/>
      <w:lang w:bidi="ar-SA" w:eastAsia="en-US" w:val="en-US"/>
    </w:rPr>
  </w:style>
  <w:style w:type="paragraph" w:styleId="Heading3">
    <w:name w:val="Heading 3"/>
    <w:basedOn w:val="2Subheadpink"/>
    <w:next w:val="1bodycopy10pt"/>
    <w:autoRedefine w:val="0"/>
    <w:hidden w:val="0"/>
    <w:qFormat w:val="0"/>
    <w:pPr>
      <w:keepNext w:val="1"/>
      <w:keepLines w:val="1"/>
      <w:suppressAutoHyphens w:val="1"/>
      <w:spacing w:after="120" w:before="120" w:line="259" w:lineRule="auto"/>
      <w:ind w:leftChars="-1" w:rightChars="0" w:firstLineChars="-1"/>
      <w:textDirection w:val="btLr"/>
      <w:textAlignment w:val="top"/>
      <w:outlineLvl w:val="2"/>
    </w:pPr>
    <w:rPr>
      <w:b w:val="1"/>
      <w:bCs w:val="1"/>
      <w:color w:val="7f7f7f"/>
      <w:w w:val="100"/>
      <w:position w:val="-1"/>
      <w:sz w:val="24"/>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tabs>
        <w:tab w:val="left" w:leader="dot" w:pos="9412"/>
      </w:tabs>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6"/>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numbering" w:styleId="CurrentList1">
    <w:name w:val="Current List1"/>
    <w:next w:val="CurrentList1"/>
    <w:autoRedefine w:val="0"/>
    <w:hidden w:val="0"/>
    <w:qFormat w:val="0"/>
    <w:pPr>
      <w:numPr>
        <w:ilvl w:val="0"/>
        <w:numId w:val="19"/>
      </w:numPr>
      <w:suppressAutoHyphens w:val="1"/>
      <w:spacing w:line="1" w:lineRule="atLeast"/>
      <w:ind w:leftChars="-1" w:rightChars="0" w:firstLineChars="-1"/>
      <w:textDirection w:val="btLr"/>
      <w:textAlignment w:val="top"/>
      <w:outlineLvl w:val="0"/>
    </w:p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1"/>
    <w:pPr>
      <w:suppressAutoHyphens w:val="1"/>
      <w:spacing w:after="120" w:line="1" w:lineRule="atLeast"/>
      <w:ind w:leftChars="-1" w:rightChars="0" w:firstLineChars="-1"/>
      <w:textDirection w:val="btLr"/>
      <w:textAlignment w:val="top"/>
      <w:outlineLvl w:val="0"/>
    </w:pPr>
    <w:rPr>
      <w:b w:val="1"/>
      <w:bCs w:val="1"/>
      <w:w w:val="100"/>
      <w:position w:val="-1"/>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57.0" w:type="dxa"/>
        <w:left w:w="108.0" w:type="dxa"/>
        <w:bottom w:w="57.0" w:type="dxa"/>
        <w:right w:w="108.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 w:type="table" w:styleId="Table4">
    <w:basedOn w:val="TableNormal"/>
    <w:tblPr>
      <w:tblStyleRowBandSize w:val="1"/>
      <w:tblStyleColBandSize w:val="1"/>
      <w:tblCellMar>
        <w:top w:w="142.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42.0" w:type="dxa"/>
        <w:left w:w="0.0" w:type="dxa"/>
        <w:bottom w:w="0.0" w:type="dxa"/>
        <w:right w:w="0.0" w:type="dxa"/>
      </w:tblCellMar>
    </w:tblPr>
  </w:style>
  <w:style w:type="table" w:styleId="Table2">
    <w:basedOn w:val="TableNormal"/>
    <w:rPr>
      <w:vertAlign w:val="baseline"/>
    </w:rPr>
    <w:tblPr>
      <w:tblStyleRowBandSize w:val="1"/>
      <w:tblStyleColBandSize w:val="1"/>
      <w:tblCellMar>
        <w:top w:w="142.0" w:type="dxa"/>
        <w:left w:w="0.0" w:type="dxa"/>
        <w:bottom w:w="0.0" w:type="dxa"/>
        <w:right w:w="0.0" w:type="dxa"/>
      </w:tblCellMar>
    </w:tblPr>
  </w:style>
  <w:style w:type="table" w:styleId="Table3">
    <w:basedOn w:val="TableNormal"/>
    <w:rPr>
      <w:vertAlign w:val="baseline"/>
    </w:rPr>
    <w:tblPr>
      <w:tblStyleRowBandSize w:val="1"/>
      <w:tblStyleColBandSize w:val="1"/>
      <w:tblCellMar>
        <w:top w:w="142.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42.0" w:type="dxa"/>
        <w:left w:w="0.0" w:type="dxa"/>
        <w:bottom w:w="0.0" w:type="dxa"/>
        <w:right w:w="0.0" w:type="dxa"/>
      </w:tblCellMar>
    </w:tblPr>
  </w:style>
  <w:style w:type="table" w:styleId="Table2">
    <w:basedOn w:val="TableNormal"/>
    <w:rPr>
      <w:vertAlign w:val="baseline"/>
    </w:rPr>
    <w:tblPr>
      <w:tblStyleRowBandSize w:val="1"/>
      <w:tblStyleColBandSize w:val="1"/>
      <w:tblCellMar>
        <w:top w:w="142.0" w:type="dxa"/>
        <w:left w:w="0.0" w:type="dxa"/>
        <w:bottom w:w="0.0" w:type="dxa"/>
        <w:right w:w="0.0" w:type="dxa"/>
      </w:tblCellMar>
    </w:tblPr>
  </w:style>
  <w:style w:type="table" w:styleId="Table3">
    <w:basedOn w:val="TableNormal"/>
    <w:rPr>
      <w:vertAlign w:val="baseline"/>
    </w:rPr>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yperlink" Target="https://www.farrer.co.uk/news-and-insights/developing-and-implementing-a-low-level-concerns-policy-a-guide-for-organisations-which-work-with-childr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thekeysupport.com/" TargetMode="External"/><Relationship Id="rId2" Type="http://schemas.openxmlformats.org/officeDocument/2006/relationships/hyperlink" Target="https://thekeysupport.com/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JmDzM2vsCleiTudZKsNw8F2XA==">CgMxLjAyCWguMmx3YW12djIJaC4xMTFreDNvOAByITFfcE1NckFBZTdqS25xdXBZNDgxNFlIc1cwTWFhcnc5WQ==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2023-08-15T15:22:00Z</dcterms:created>
  <dc:creator>Joel  Southern</dc:creator>
</cp:coreProperties>
</file>

<file path=docProps/custom.xml><?xml version="1.0" encoding="utf-8"?>
<Properties xmlns="http://schemas.openxmlformats.org/officeDocument/2006/custom-properties" xmlns:vt="http://schemas.openxmlformats.org/officeDocument/2006/docPropsVTypes"/>
</file>