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6D785" w14:textId="2E687351" w:rsidR="006A502D" w:rsidRDefault="000C66C6" w:rsidP="000C66C6">
      <w:pPr>
        <w:rPr>
          <w:b/>
          <w:bCs/>
        </w:rPr>
      </w:pPr>
      <w:r w:rsidRPr="000C66C6">
        <w:rPr>
          <w:b/>
          <w:bCs/>
        </w:rPr>
        <w:t>Form ADV Part 2A – Firm Brochure</w:t>
      </w:r>
      <w:r w:rsidRPr="000C66C6">
        <w:br/>
      </w:r>
      <w:r w:rsidR="00C84690">
        <w:t xml:space="preserve">Amended </w:t>
      </w:r>
      <w:r w:rsidR="0066304B">
        <w:t>July 30</w:t>
      </w:r>
      <w:r w:rsidR="004006BE" w:rsidRPr="004006BE">
        <w:t>, 202</w:t>
      </w:r>
      <w:r w:rsidR="00A4456F">
        <w:t>5</w:t>
      </w:r>
    </w:p>
    <w:p w14:paraId="26051ECA" w14:textId="0DFE1DA2" w:rsidR="000D084A" w:rsidRDefault="000D084A" w:rsidP="00F058F7">
      <w:pPr>
        <w:spacing w:after="0" w:line="240" w:lineRule="auto"/>
        <w:rPr>
          <w:b/>
          <w:bCs/>
        </w:rPr>
      </w:pPr>
      <w:r>
        <w:rPr>
          <w:rFonts w:ascii="Copperplate Gothic Light" w:eastAsia="MS Gothic" w:hAnsi="Copperplate Gothic Light"/>
          <w:noProof/>
          <w:color w:val="215E99" w:themeColor="text2" w:themeTint="BF"/>
          <w:sz w:val="72"/>
          <w:szCs w:val="72"/>
        </w:rPr>
        <w:drawing>
          <wp:inline distT="0" distB="0" distL="0" distR="0" wp14:anchorId="7C065DDC" wp14:editId="79424696">
            <wp:extent cx="2471670" cy="895350"/>
            <wp:effectExtent l="0" t="0" r="0" b="0"/>
            <wp:docPr id="616595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1666" cy="902593"/>
                    </a:xfrm>
                    <a:prstGeom prst="rect">
                      <a:avLst/>
                    </a:prstGeom>
                    <a:noFill/>
                    <a:ln>
                      <a:noFill/>
                    </a:ln>
                  </pic:spPr>
                </pic:pic>
              </a:graphicData>
            </a:graphic>
          </wp:inline>
        </w:drawing>
      </w:r>
      <w:r w:rsidR="000C66C6" w:rsidRPr="000C66C6">
        <w:br/>
      </w:r>
      <w:r>
        <w:rPr>
          <w:b/>
          <w:bCs/>
        </w:rPr>
        <w:t>Seaport Financial Education LLC</w:t>
      </w:r>
    </w:p>
    <w:p w14:paraId="2F0F3513" w14:textId="0976E4BC" w:rsidR="000D084A" w:rsidRDefault="00CE4B51" w:rsidP="00F058F7">
      <w:pPr>
        <w:spacing w:after="0" w:line="240" w:lineRule="auto"/>
        <w:rPr>
          <w:b/>
          <w:bCs/>
        </w:rPr>
      </w:pPr>
      <w:r>
        <w:rPr>
          <w:b/>
          <w:bCs/>
        </w:rPr>
        <w:t>138 Heritage Drive</w:t>
      </w:r>
      <w:r w:rsidR="000C66C6" w:rsidRPr="000C66C6">
        <w:br/>
      </w:r>
      <w:r w:rsidR="00F1025F">
        <w:rPr>
          <w:b/>
          <w:bCs/>
        </w:rPr>
        <w:t>Portsmouth, RI 02871</w:t>
      </w:r>
      <w:r w:rsidR="000C66C6" w:rsidRPr="000C66C6">
        <w:br/>
      </w:r>
      <w:r w:rsidR="000C66C6" w:rsidRPr="000C66C6">
        <w:rPr>
          <w:b/>
          <w:bCs/>
        </w:rPr>
        <w:t>Phone: (</w:t>
      </w:r>
      <w:r w:rsidR="00F1025F">
        <w:rPr>
          <w:b/>
          <w:bCs/>
        </w:rPr>
        <w:t>401</w:t>
      </w:r>
      <w:r w:rsidR="000C66C6" w:rsidRPr="000C66C6">
        <w:rPr>
          <w:b/>
          <w:bCs/>
        </w:rPr>
        <w:t xml:space="preserve">) </w:t>
      </w:r>
      <w:r w:rsidR="00F1025F">
        <w:rPr>
          <w:b/>
          <w:bCs/>
        </w:rPr>
        <w:t>595-</w:t>
      </w:r>
      <w:r w:rsidR="00274057">
        <w:rPr>
          <w:b/>
          <w:bCs/>
        </w:rPr>
        <w:t>884</w:t>
      </w:r>
      <w:r w:rsidR="00F1025F">
        <w:rPr>
          <w:b/>
          <w:bCs/>
        </w:rPr>
        <w:t>1</w:t>
      </w:r>
    </w:p>
    <w:p w14:paraId="4F215495" w14:textId="52E5811E" w:rsidR="00AA362D" w:rsidRDefault="000D084A" w:rsidP="00F058F7">
      <w:pPr>
        <w:spacing w:after="0" w:line="240" w:lineRule="auto"/>
        <w:rPr>
          <w:b/>
          <w:bCs/>
        </w:rPr>
      </w:pPr>
      <w:r>
        <w:rPr>
          <w:b/>
          <w:bCs/>
        </w:rPr>
        <w:t>Email:  wdwyer@SeaportFinEd.com</w:t>
      </w:r>
      <w:r w:rsidR="000C66C6" w:rsidRPr="000C66C6">
        <w:br/>
      </w:r>
      <w:r w:rsidR="000C66C6" w:rsidRPr="000D084A">
        <w:rPr>
          <w:b/>
          <w:bCs/>
        </w:rPr>
        <w:t xml:space="preserve">Website: </w:t>
      </w:r>
      <w:hyperlink r:id="rId8" w:history="1">
        <w:r w:rsidR="00C67319" w:rsidRPr="00B617A8">
          <w:rPr>
            <w:rStyle w:val="Hyperlink"/>
            <w:b/>
            <w:bCs/>
          </w:rPr>
          <w:t>www.SeaportFinancialEd.com</w:t>
        </w:r>
      </w:hyperlink>
    </w:p>
    <w:p w14:paraId="7FB01358" w14:textId="706031B5" w:rsidR="00C67319" w:rsidRDefault="00C67319" w:rsidP="00F058F7">
      <w:pPr>
        <w:spacing w:after="0" w:line="240" w:lineRule="auto"/>
        <w:rPr>
          <w:b/>
          <w:bCs/>
        </w:rPr>
      </w:pPr>
      <w:r>
        <w:rPr>
          <w:b/>
          <w:bCs/>
        </w:rPr>
        <w:t>Instagram</w:t>
      </w:r>
      <w:proofErr w:type="gramStart"/>
      <w:r>
        <w:rPr>
          <w:b/>
          <w:bCs/>
        </w:rPr>
        <w:t>:  @</w:t>
      </w:r>
      <w:proofErr w:type="gramEnd"/>
      <w:r>
        <w:rPr>
          <w:b/>
          <w:bCs/>
        </w:rPr>
        <w:t>SeaportFinancial</w:t>
      </w:r>
    </w:p>
    <w:p w14:paraId="3B9F49ED" w14:textId="585D2B59" w:rsidR="00C67319" w:rsidRDefault="00C67319" w:rsidP="00F058F7">
      <w:pPr>
        <w:spacing w:after="0" w:line="240" w:lineRule="auto"/>
        <w:rPr>
          <w:b/>
          <w:bCs/>
        </w:rPr>
      </w:pPr>
      <w:r>
        <w:rPr>
          <w:b/>
          <w:bCs/>
        </w:rPr>
        <w:t>Facebook</w:t>
      </w:r>
      <w:proofErr w:type="gramStart"/>
      <w:r>
        <w:rPr>
          <w:b/>
          <w:bCs/>
        </w:rPr>
        <w:t>:  @</w:t>
      </w:r>
      <w:proofErr w:type="gramEnd"/>
      <w:r w:rsidR="003F4D27">
        <w:rPr>
          <w:b/>
          <w:bCs/>
        </w:rPr>
        <w:t>SeaportFinancialEducation</w:t>
      </w:r>
    </w:p>
    <w:p w14:paraId="16BEEF99" w14:textId="48495073" w:rsidR="003F4D27" w:rsidRDefault="003F4D27" w:rsidP="00F058F7">
      <w:pPr>
        <w:spacing w:after="0" w:line="240" w:lineRule="auto"/>
        <w:rPr>
          <w:b/>
          <w:bCs/>
        </w:rPr>
      </w:pPr>
      <w:r>
        <w:rPr>
          <w:b/>
          <w:bCs/>
        </w:rPr>
        <w:t>YouTube</w:t>
      </w:r>
      <w:proofErr w:type="gramStart"/>
      <w:r>
        <w:rPr>
          <w:b/>
          <w:bCs/>
        </w:rPr>
        <w:t>:  @</w:t>
      </w:r>
      <w:proofErr w:type="gramEnd"/>
      <w:r>
        <w:rPr>
          <w:b/>
          <w:bCs/>
        </w:rPr>
        <w:t>SeaportFinancialEd</w:t>
      </w:r>
    </w:p>
    <w:p w14:paraId="7DCFF011" w14:textId="4B59D71E" w:rsidR="003F4D27" w:rsidRDefault="003F4D27" w:rsidP="00F058F7">
      <w:pPr>
        <w:spacing w:after="0" w:line="240" w:lineRule="auto"/>
        <w:rPr>
          <w:b/>
          <w:bCs/>
        </w:rPr>
      </w:pPr>
      <w:r>
        <w:rPr>
          <w:b/>
          <w:bCs/>
        </w:rPr>
        <w:t>TikTok</w:t>
      </w:r>
      <w:proofErr w:type="gramStart"/>
      <w:r>
        <w:rPr>
          <w:b/>
          <w:bCs/>
        </w:rPr>
        <w:t>:  @</w:t>
      </w:r>
      <w:proofErr w:type="gramEnd"/>
      <w:r>
        <w:rPr>
          <w:b/>
          <w:bCs/>
        </w:rPr>
        <w:t>SeaportFinancial</w:t>
      </w:r>
    </w:p>
    <w:p w14:paraId="6B5D5939" w14:textId="47203D8E" w:rsidR="003F4D27" w:rsidRPr="00C67319" w:rsidRDefault="003F4D27" w:rsidP="00F058F7">
      <w:pPr>
        <w:spacing w:after="0" w:line="240" w:lineRule="auto"/>
        <w:rPr>
          <w:b/>
          <w:bCs/>
        </w:rPr>
      </w:pPr>
      <w:r>
        <w:rPr>
          <w:b/>
          <w:bCs/>
        </w:rPr>
        <w:t>LinkedIn</w:t>
      </w:r>
      <w:proofErr w:type="gramStart"/>
      <w:r>
        <w:rPr>
          <w:b/>
          <w:bCs/>
        </w:rPr>
        <w:t xml:space="preserve">:  </w:t>
      </w:r>
      <w:r w:rsidR="00D76D4B">
        <w:rPr>
          <w:b/>
          <w:bCs/>
        </w:rPr>
        <w:t>@</w:t>
      </w:r>
      <w:proofErr w:type="gramEnd"/>
      <w:r w:rsidR="00D76D4B">
        <w:rPr>
          <w:b/>
          <w:bCs/>
        </w:rPr>
        <w:t>SeaportFinancialEducation</w:t>
      </w:r>
    </w:p>
    <w:p w14:paraId="525139FF" w14:textId="77777777" w:rsidR="000C66C6" w:rsidRPr="000C66C6" w:rsidRDefault="002F6BFF" w:rsidP="000C66C6">
      <w:r>
        <w:pict w14:anchorId="0C361607">
          <v:rect id="_x0000_i1025" style="width:0;height:1.5pt" o:hralign="center" o:hrstd="t" o:hr="t" fillcolor="#a0a0a0" stroked="f"/>
        </w:pict>
      </w:r>
    </w:p>
    <w:p w14:paraId="112ADF8E" w14:textId="77777777" w:rsidR="000C66C6" w:rsidRPr="000C66C6" w:rsidRDefault="000C66C6" w:rsidP="000C66C6">
      <w:r w:rsidRPr="000C66C6">
        <w:rPr>
          <w:b/>
          <w:bCs/>
        </w:rPr>
        <w:t>Item 1: Cover Page</w:t>
      </w:r>
    </w:p>
    <w:p w14:paraId="34CEFDFD" w14:textId="21B6C273" w:rsidR="000C66C6" w:rsidRPr="000C66C6" w:rsidRDefault="000C66C6" w:rsidP="000C66C6">
      <w:r w:rsidRPr="000C66C6">
        <w:t xml:space="preserve">This brochure provides information about the qualifications and business practices of </w:t>
      </w:r>
      <w:r w:rsidRPr="000C66C6">
        <w:rPr>
          <w:b/>
          <w:bCs/>
        </w:rPr>
        <w:t xml:space="preserve">Seaport Financial </w:t>
      </w:r>
      <w:r w:rsidR="0016437F">
        <w:rPr>
          <w:b/>
          <w:bCs/>
        </w:rPr>
        <w:t xml:space="preserve">Education </w:t>
      </w:r>
      <w:r w:rsidRPr="000C66C6">
        <w:rPr>
          <w:b/>
          <w:bCs/>
        </w:rPr>
        <w:t>LLC</w:t>
      </w:r>
      <w:r w:rsidRPr="000C66C6">
        <w:t xml:space="preserve"> (hereinafter referred to as “Seaport Financial” or the “Firm”). If you have any questions about the contents of this brochure, please contact us at </w:t>
      </w:r>
      <w:r w:rsidR="003F24CF">
        <w:t>401</w:t>
      </w:r>
      <w:r w:rsidR="009F70F6">
        <w:t>.595.</w:t>
      </w:r>
      <w:r w:rsidR="00274057">
        <w:t>884</w:t>
      </w:r>
      <w:r w:rsidR="009F70F6">
        <w:t xml:space="preserve">1 or </w:t>
      </w:r>
      <w:hyperlink r:id="rId9" w:history="1">
        <w:r w:rsidR="00021344" w:rsidRPr="00021344">
          <w:rPr>
            <w:rStyle w:val="Hyperlink"/>
          </w:rPr>
          <w:t>mailto:  williamjdwyeriii@outlook.com</w:t>
        </w:r>
      </w:hyperlink>
      <w:r w:rsidRPr="000C66C6">
        <w:t>.</w:t>
      </w:r>
    </w:p>
    <w:p w14:paraId="03F29D9E" w14:textId="77777777" w:rsidR="000C66C6" w:rsidRPr="000C66C6" w:rsidRDefault="000C66C6" w:rsidP="000C66C6">
      <w:r w:rsidRPr="000C66C6">
        <w:t>The information in this brochure has not been approved or verified by the U.S. Securities and Exchange Commission (SEC) or by any state securities authority.</w:t>
      </w:r>
    </w:p>
    <w:p w14:paraId="0D956D8D" w14:textId="1E7851BC" w:rsidR="000C66C6" w:rsidRPr="000C66C6" w:rsidRDefault="000C66C6" w:rsidP="000C66C6">
      <w:r w:rsidRPr="000C66C6">
        <w:rPr>
          <w:b/>
          <w:bCs/>
        </w:rPr>
        <w:t xml:space="preserve">Date of this Brochure: </w:t>
      </w:r>
      <w:r w:rsidR="00483A4C">
        <w:rPr>
          <w:b/>
          <w:bCs/>
        </w:rPr>
        <w:t xml:space="preserve">Amended </w:t>
      </w:r>
      <w:r w:rsidR="0066304B">
        <w:rPr>
          <w:b/>
          <w:bCs/>
        </w:rPr>
        <w:t>July 30</w:t>
      </w:r>
      <w:r w:rsidR="009F70F6">
        <w:rPr>
          <w:b/>
          <w:bCs/>
        </w:rPr>
        <w:t>, 202</w:t>
      </w:r>
      <w:r w:rsidR="004830BD">
        <w:rPr>
          <w:b/>
          <w:bCs/>
        </w:rPr>
        <w:t>5</w:t>
      </w:r>
    </w:p>
    <w:p w14:paraId="389861B6" w14:textId="77777777" w:rsidR="000C66C6" w:rsidRPr="000C66C6" w:rsidRDefault="002F6BFF" w:rsidP="000C66C6">
      <w:r>
        <w:pict w14:anchorId="11F7BE52">
          <v:rect id="_x0000_i1026" style="width:0;height:1.5pt" o:hralign="center" o:hrstd="t" o:hr="t" fillcolor="#a0a0a0" stroked="f"/>
        </w:pict>
      </w:r>
    </w:p>
    <w:p w14:paraId="48E95264" w14:textId="77777777" w:rsidR="000C66C6" w:rsidRPr="000C66C6" w:rsidRDefault="000C66C6" w:rsidP="000C66C6">
      <w:r w:rsidRPr="000C66C6">
        <w:rPr>
          <w:b/>
          <w:bCs/>
        </w:rPr>
        <w:t>Item 2: Material Changes</w:t>
      </w:r>
    </w:p>
    <w:p w14:paraId="58438F93" w14:textId="46F8DD5F" w:rsidR="00562C3F" w:rsidRDefault="00562C3F" w:rsidP="00C84690">
      <w:pPr>
        <w:pStyle w:val="ListParagraph"/>
        <w:numPr>
          <w:ilvl w:val="0"/>
          <w:numId w:val="12"/>
        </w:numPr>
      </w:pPr>
      <w:r w:rsidRPr="00562C3F">
        <w:rPr>
          <w:b/>
          <w:bCs/>
        </w:rPr>
        <w:t>Curated Group Zoom Meetings</w:t>
      </w:r>
      <w:r>
        <w:t xml:space="preserve"> are a new offer</w:t>
      </w:r>
    </w:p>
    <w:p w14:paraId="34EF2BFC" w14:textId="5515A310" w:rsidR="00562C3F" w:rsidRDefault="00562C3F" w:rsidP="00C84690">
      <w:pPr>
        <w:pStyle w:val="ListParagraph"/>
        <w:numPr>
          <w:ilvl w:val="0"/>
          <w:numId w:val="12"/>
        </w:numPr>
      </w:pPr>
      <w:r w:rsidRPr="00562C3F">
        <w:rPr>
          <w:b/>
          <w:bCs/>
        </w:rPr>
        <w:t>Job Changer</w:t>
      </w:r>
      <w:r>
        <w:t xml:space="preserve"> offer has been renamed </w:t>
      </w:r>
      <w:r w:rsidRPr="00562C3F">
        <w:rPr>
          <w:b/>
          <w:bCs/>
        </w:rPr>
        <w:t>Retirement Plan</w:t>
      </w:r>
      <w:r w:rsidR="00D84B8A">
        <w:rPr>
          <w:b/>
          <w:bCs/>
        </w:rPr>
        <w:t xml:space="preserve">/Product Pitch </w:t>
      </w:r>
      <w:r w:rsidRPr="00562C3F">
        <w:rPr>
          <w:b/>
          <w:bCs/>
        </w:rPr>
        <w:t>Review</w:t>
      </w:r>
    </w:p>
    <w:p w14:paraId="3A0AA6E9" w14:textId="54516CC3" w:rsidR="000C66C6" w:rsidRDefault="00C84690" w:rsidP="00C84690">
      <w:pPr>
        <w:pStyle w:val="ListParagraph"/>
        <w:numPr>
          <w:ilvl w:val="0"/>
          <w:numId w:val="12"/>
        </w:numPr>
      </w:pPr>
      <w:r w:rsidRPr="00C84690">
        <w:rPr>
          <w:b/>
          <w:bCs/>
        </w:rPr>
        <w:t>Basic</w:t>
      </w:r>
      <w:r>
        <w:t xml:space="preserve"> offer has been </w:t>
      </w:r>
      <w:r w:rsidR="00562C3F">
        <w:t xml:space="preserve">renamed </w:t>
      </w:r>
      <w:r w:rsidR="00562C3F" w:rsidRPr="00562C3F">
        <w:rPr>
          <w:b/>
          <w:bCs/>
        </w:rPr>
        <w:t>Financial Plan</w:t>
      </w:r>
    </w:p>
    <w:p w14:paraId="7865E8D4" w14:textId="52C65A38" w:rsidR="00C84690" w:rsidRPr="00071719" w:rsidRDefault="00C84690" w:rsidP="00C84690">
      <w:pPr>
        <w:pStyle w:val="ListParagraph"/>
        <w:numPr>
          <w:ilvl w:val="0"/>
          <w:numId w:val="12"/>
        </w:numPr>
      </w:pPr>
      <w:r w:rsidRPr="004830BD">
        <w:rPr>
          <w:b/>
          <w:bCs/>
        </w:rPr>
        <w:t>Basic Plus</w:t>
      </w:r>
      <w:r>
        <w:t xml:space="preserve"> offer has been </w:t>
      </w:r>
      <w:r w:rsidR="00562C3F">
        <w:t xml:space="preserve">renamed </w:t>
      </w:r>
      <w:r w:rsidR="00562C3F" w:rsidRPr="00562C3F">
        <w:rPr>
          <w:b/>
          <w:bCs/>
        </w:rPr>
        <w:t>Private Client</w:t>
      </w:r>
    </w:p>
    <w:p w14:paraId="0CFA5934" w14:textId="000E7DB2" w:rsidR="00071719" w:rsidRPr="000C66C6" w:rsidRDefault="00071719" w:rsidP="00C84690">
      <w:pPr>
        <w:pStyle w:val="ListParagraph"/>
        <w:numPr>
          <w:ilvl w:val="0"/>
          <w:numId w:val="12"/>
        </w:numPr>
      </w:pPr>
      <w:r w:rsidRPr="00AA362D">
        <w:t xml:space="preserve">Added </w:t>
      </w:r>
      <w:r w:rsidR="00AA362D">
        <w:rPr>
          <w:b/>
          <w:bCs/>
        </w:rPr>
        <w:t xml:space="preserve">Social Media </w:t>
      </w:r>
      <w:r w:rsidR="00AA362D">
        <w:t>handles</w:t>
      </w:r>
    </w:p>
    <w:p w14:paraId="2E85CAE8" w14:textId="77777777" w:rsidR="000C66C6" w:rsidRPr="000C66C6" w:rsidRDefault="002F6BFF" w:rsidP="000C66C6">
      <w:r>
        <w:pict w14:anchorId="684D16F8">
          <v:rect id="_x0000_i1027" style="width:0;height:1.5pt" o:hralign="center" o:hrstd="t" o:hr="t" fillcolor="#a0a0a0" stroked="f"/>
        </w:pict>
      </w:r>
    </w:p>
    <w:p w14:paraId="5DC5E179" w14:textId="77777777" w:rsidR="000C66C6" w:rsidRPr="000C66C6" w:rsidRDefault="000C66C6" w:rsidP="000C66C6">
      <w:r w:rsidRPr="000C66C6">
        <w:rPr>
          <w:b/>
          <w:bCs/>
        </w:rPr>
        <w:lastRenderedPageBreak/>
        <w:t>Item 3: Table of Contents</w:t>
      </w:r>
    </w:p>
    <w:p w14:paraId="0B67CBD5" w14:textId="77777777" w:rsidR="000C66C6" w:rsidRPr="000C66C6" w:rsidRDefault="000C66C6" w:rsidP="000C66C6">
      <w:pPr>
        <w:numPr>
          <w:ilvl w:val="0"/>
          <w:numId w:val="3"/>
        </w:numPr>
      </w:pPr>
      <w:r w:rsidRPr="000C66C6">
        <w:t>Cover Page</w:t>
      </w:r>
    </w:p>
    <w:p w14:paraId="28035AEF" w14:textId="77777777" w:rsidR="000C66C6" w:rsidRPr="000C66C6" w:rsidRDefault="000C66C6" w:rsidP="000C66C6">
      <w:pPr>
        <w:numPr>
          <w:ilvl w:val="0"/>
          <w:numId w:val="3"/>
        </w:numPr>
      </w:pPr>
      <w:r w:rsidRPr="000C66C6">
        <w:t>Material Changes</w:t>
      </w:r>
    </w:p>
    <w:p w14:paraId="23C45147" w14:textId="77777777" w:rsidR="000C66C6" w:rsidRPr="000C66C6" w:rsidRDefault="000C66C6" w:rsidP="000C66C6">
      <w:pPr>
        <w:numPr>
          <w:ilvl w:val="0"/>
          <w:numId w:val="3"/>
        </w:numPr>
      </w:pPr>
      <w:r w:rsidRPr="000C66C6">
        <w:t>Table of Contents</w:t>
      </w:r>
    </w:p>
    <w:p w14:paraId="3D6ECB16" w14:textId="77777777" w:rsidR="000C66C6" w:rsidRPr="000C66C6" w:rsidRDefault="000C66C6" w:rsidP="000C66C6">
      <w:pPr>
        <w:numPr>
          <w:ilvl w:val="0"/>
          <w:numId w:val="3"/>
        </w:numPr>
      </w:pPr>
      <w:r w:rsidRPr="000C66C6">
        <w:t>Advisory Business</w:t>
      </w:r>
    </w:p>
    <w:p w14:paraId="5E71F0F8" w14:textId="77777777" w:rsidR="000C66C6" w:rsidRPr="000C66C6" w:rsidRDefault="000C66C6" w:rsidP="000C66C6">
      <w:pPr>
        <w:numPr>
          <w:ilvl w:val="0"/>
          <w:numId w:val="3"/>
        </w:numPr>
      </w:pPr>
      <w:r w:rsidRPr="000C66C6">
        <w:t>Fees and Compensation</w:t>
      </w:r>
    </w:p>
    <w:p w14:paraId="54363C19" w14:textId="77777777" w:rsidR="000C66C6" w:rsidRPr="000C66C6" w:rsidRDefault="000C66C6" w:rsidP="000C66C6">
      <w:pPr>
        <w:numPr>
          <w:ilvl w:val="0"/>
          <w:numId w:val="3"/>
        </w:numPr>
      </w:pPr>
      <w:r w:rsidRPr="000C66C6">
        <w:t>Performance-Based Fees and Side-by-Side Management</w:t>
      </w:r>
    </w:p>
    <w:p w14:paraId="3FAC7B66" w14:textId="77777777" w:rsidR="000C66C6" w:rsidRPr="000C66C6" w:rsidRDefault="000C66C6" w:rsidP="000C66C6">
      <w:pPr>
        <w:numPr>
          <w:ilvl w:val="0"/>
          <w:numId w:val="3"/>
        </w:numPr>
      </w:pPr>
      <w:r w:rsidRPr="000C66C6">
        <w:t>Types of Clients</w:t>
      </w:r>
    </w:p>
    <w:p w14:paraId="5706DC9B" w14:textId="77777777" w:rsidR="000C66C6" w:rsidRPr="000C66C6" w:rsidRDefault="000C66C6" w:rsidP="000C66C6">
      <w:pPr>
        <w:numPr>
          <w:ilvl w:val="0"/>
          <w:numId w:val="3"/>
        </w:numPr>
      </w:pPr>
      <w:r w:rsidRPr="000C66C6">
        <w:t>Methods of Analysis, Investment Strategies, and Risk of Loss</w:t>
      </w:r>
    </w:p>
    <w:p w14:paraId="3D4A1D5F" w14:textId="77777777" w:rsidR="000C66C6" w:rsidRPr="000C66C6" w:rsidRDefault="000C66C6" w:rsidP="000C66C6">
      <w:pPr>
        <w:numPr>
          <w:ilvl w:val="0"/>
          <w:numId w:val="3"/>
        </w:numPr>
      </w:pPr>
      <w:r w:rsidRPr="000C66C6">
        <w:t>Disciplinary Information</w:t>
      </w:r>
    </w:p>
    <w:p w14:paraId="5F55910A" w14:textId="77777777" w:rsidR="000C66C6" w:rsidRPr="000C66C6" w:rsidRDefault="000C66C6" w:rsidP="000C66C6">
      <w:pPr>
        <w:numPr>
          <w:ilvl w:val="0"/>
          <w:numId w:val="3"/>
        </w:numPr>
      </w:pPr>
      <w:r w:rsidRPr="000C66C6">
        <w:t>Other Financial Industry Activities and Affiliations</w:t>
      </w:r>
    </w:p>
    <w:p w14:paraId="70AA0A11" w14:textId="77777777" w:rsidR="000C66C6" w:rsidRPr="000C66C6" w:rsidRDefault="000C66C6" w:rsidP="000C66C6">
      <w:pPr>
        <w:numPr>
          <w:ilvl w:val="0"/>
          <w:numId w:val="3"/>
        </w:numPr>
      </w:pPr>
      <w:r w:rsidRPr="000C66C6">
        <w:t>Code of Ethics, Participation or Interest in Client Transactions, and Personal Trading</w:t>
      </w:r>
    </w:p>
    <w:p w14:paraId="46511B6C" w14:textId="77777777" w:rsidR="000C66C6" w:rsidRPr="000C66C6" w:rsidRDefault="000C66C6" w:rsidP="000C66C6">
      <w:pPr>
        <w:numPr>
          <w:ilvl w:val="0"/>
          <w:numId w:val="3"/>
        </w:numPr>
      </w:pPr>
      <w:r w:rsidRPr="000C66C6">
        <w:t>Brokerage Practices</w:t>
      </w:r>
    </w:p>
    <w:p w14:paraId="3095D1C8" w14:textId="77777777" w:rsidR="000C66C6" w:rsidRPr="000C66C6" w:rsidRDefault="000C66C6" w:rsidP="000C66C6">
      <w:pPr>
        <w:numPr>
          <w:ilvl w:val="0"/>
          <w:numId w:val="3"/>
        </w:numPr>
      </w:pPr>
      <w:r w:rsidRPr="000C66C6">
        <w:t>Review of Accounts</w:t>
      </w:r>
    </w:p>
    <w:p w14:paraId="7E9DAD6F" w14:textId="77777777" w:rsidR="000C66C6" w:rsidRPr="000C66C6" w:rsidRDefault="000C66C6" w:rsidP="000C66C6">
      <w:pPr>
        <w:numPr>
          <w:ilvl w:val="0"/>
          <w:numId w:val="3"/>
        </w:numPr>
      </w:pPr>
      <w:r w:rsidRPr="000C66C6">
        <w:t>Client Referrals and Other Compensation</w:t>
      </w:r>
    </w:p>
    <w:p w14:paraId="02137BFB" w14:textId="77777777" w:rsidR="000C66C6" w:rsidRPr="000C66C6" w:rsidRDefault="000C66C6" w:rsidP="000C66C6">
      <w:pPr>
        <w:numPr>
          <w:ilvl w:val="0"/>
          <w:numId w:val="3"/>
        </w:numPr>
      </w:pPr>
      <w:r w:rsidRPr="000C66C6">
        <w:t>Custody</w:t>
      </w:r>
    </w:p>
    <w:p w14:paraId="4087FB04" w14:textId="77777777" w:rsidR="000C66C6" w:rsidRPr="000C66C6" w:rsidRDefault="000C66C6" w:rsidP="000C66C6">
      <w:pPr>
        <w:numPr>
          <w:ilvl w:val="0"/>
          <w:numId w:val="3"/>
        </w:numPr>
      </w:pPr>
      <w:r w:rsidRPr="000C66C6">
        <w:t>Investment Discretion</w:t>
      </w:r>
    </w:p>
    <w:p w14:paraId="3BB59016" w14:textId="77777777" w:rsidR="000C66C6" w:rsidRPr="000C66C6" w:rsidRDefault="000C66C6" w:rsidP="000C66C6">
      <w:pPr>
        <w:numPr>
          <w:ilvl w:val="0"/>
          <w:numId w:val="3"/>
        </w:numPr>
      </w:pPr>
      <w:r w:rsidRPr="000C66C6">
        <w:t>Voting Client Securities</w:t>
      </w:r>
    </w:p>
    <w:p w14:paraId="3F657F59" w14:textId="77777777" w:rsidR="000C66C6" w:rsidRPr="000C66C6" w:rsidRDefault="000C66C6" w:rsidP="000C66C6">
      <w:pPr>
        <w:numPr>
          <w:ilvl w:val="0"/>
          <w:numId w:val="3"/>
        </w:numPr>
      </w:pPr>
      <w:r w:rsidRPr="000C66C6">
        <w:t>Financial Information</w:t>
      </w:r>
    </w:p>
    <w:p w14:paraId="33D34DA1" w14:textId="77777777" w:rsidR="000C66C6" w:rsidRPr="000C66C6" w:rsidRDefault="002F6BFF" w:rsidP="000C66C6">
      <w:r>
        <w:pict w14:anchorId="7077175C">
          <v:rect id="_x0000_i1028" style="width:0;height:1.5pt" o:hralign="center" o:hrstd="t" o:hr="t" fillcolor="#a0a0a0" stroked="f"/>
        </w:pict>
      </w:r>
    </w:p>
    <w:p w14:paraId="4C55DA3A" w14:textId="77777777" w:rsidR="000C66C6" w:rsidRPr="000C66C6" w:rsidRDefault="000C66C6" w:rsidP="000C66C6">
      <w:r w:rsidRPr="000C66C6">
        <w:rPr>
          <w:b/>
          <w:bCs/>
        </w:rPr>
        <w:t>Item 4: Advisory Business</w:t>
      </w:r>
    </w:p>
    <w:p w14:paraId="14A1BA84" w14:textId="707715CE" w:rsidR="000C66C6" w:rsidRPr="000C66C6" w:rsidRDefault="000C66C6" w:rsidP="000C66C6">
      <w:r w:rsidRPr="000C66C6">
        <w:rPr>
          <w:b/>
          <w:bCs/>
        </w:rPr>
        <w:t>A. Firm Overview</w:t>
      </w:r>
      <w:r w:rsidRPr="000C66C6">
        <w:br/>
        <w:t xml:space="preserve">Seaport Financial </w:t>
      </w:r>
      <w:r w:rsidR="00791F35">
        <w:t xml:space="preserve">Education </w:t>
      </w:r>
      <w:r w:rsidRPr="000C66C6">
        <w:t xml:space="preserve">LLC is a registered investment advisory firm based in </w:t>
      </w:r>
      <w:r w:rsidR="00791F35">
        <w:t>Portsmouth, Rhode Island</w:t>
      </w:r>
      <w:r w:rsidRPr="000C66C6">
        <w:t xml:space="preserve">. We offer </w:t>
      </w:r>
      <w:r w:rsidR="00AC4697">
        <w:t xml:space="preserve">education, </w:t>
      </w:r>
      <w:r w:rsidR="00F12ED8">
        <w:t xml:space="preserve">guidance, </w:t>
      </w:r>
      <w:r w:rsidR="00F12ED8" w:rsidRPr="000C66C6">
        <w:t>financial</w:t>
      </w:r>
      <w:r w:rsidRPr="000C66C6">
        <w:t xml:space="preserve"> planning, and retirement consulting.</w:t>
      </w:r>
    </w:p>
    <w:p w14:paraId="445D177B" w14:textId="77777777" w:rsidR="002F6BFF" w:rsidRDefault="002F6BFF" w:rsidP="000C66C6">
      <w:pPr>
        <w:rPr>
          <w:b/>
          <w:bCs/>
        </w:rPr>
      </w:pPr>
    </w:p>
    <w:p w14:paraId="29C1A30B" w14:textId="77777777" w:rsidR="002F6BFF" w:rsidRDefault="002F6BFF" w:rsidP="000C66C6">
      <w:pPr>
        <w:rPr>
          <w:b/>
          <w:bCs/>
        </w:rPr>
      </w:pPr>
    </w:p>
    <w:p w14:paraId="1B7D0C75" w14:textId="425AA03A" w:rsidR="000C66C6" w:rsidRPr="000C66C6" w:rsidRDefault="000C66C6" w:rsidP="000C66C6">
      <w:r w:rsidRPr="000C66C6">
        <w:rPr>
          <w:b/>
          <w:bCs/>
        </w:rPr>
        <w:lastRenderedPageBreak/>
        <w:t>B. Types of Services Offered</w:t>
      </w:r>
    </w:p>
    <w:p w14:paraId="2753A851" w14:textId="1739B1D0" w:rsidR="000C66C6" w:rsidRPr="000C66C6" w:rsidRDefault="001347C9" w:rsidP="000C66C6">
      <w:pPr>
        <w:numPr>
          <w:ilvl w:val="0"/>
          <w:numId w:val="4"/>
        </w:numPr>
      </w:pPr>
      <w:r>
        <w:rPr>
          <w:b/>
          <w:bCs/>
        </w:rPr>
        <w:t>Financial Education</w:t>
      </w:r>
      <w:r w:rsidR="000C66C6" w:rsidRPr="000C66C6">
        <w:t xml:space="preserve">: We provide </w:t>
      </w:r>
      <w:r>
        <w:t>education</w:t>
      </w:r>
      <w:r w:rsidR="000C66C6" w:rsidRPr="000C66C6">
        <w:t xml:space="preserve"> services to individuals, families, and institutions.</w:t>
      </w:r>
      <w:r w:rsidR="00063CED">
        <w:t xml:space="preserve">  We tailor our lesson plans around investment basics and generally </w:t>
      </w:r>
      <w:proofErr w:type="gramStart"/>
      <w:r w:rsidR="00063CED">
        <w:t>agreed</w:t>
      </w:r>
      <w:proofErr w:type="gramEnd"/>
      <w:r w:rsidR="00063CED">
        <w:t xml:space="preserve"> upon </w:t>
      </w:r>
      <w:r w:rsidR="0081686B">
        <w:t xml:space="preserve">investment principles rooted in Modern Portfolio Theory.  We believe it’s impossible to </w:t>
      </w:r>
      <w:proofErr w:type="gramStart"/>
      <w:r w:rsidR="0081686B">
        <w:t>time</w:t>
      </w:r>
      <w:proofErr w:type="gramEnd"/>
      <w:r w:rsidR="0081686B">
        <w:t xml:space="preserve"> the market, with a </w:t>
      </w:r>
      <w:r w:rsidR="00A266C0">
        <w:t xml:space="preserve">repeatable process.  </w:t>
      </w:r>
      <w:r w:rsidR="00EA3449">
        <w:t>We do believe in managing risk through diversification.</w:t>
      </w:r>
    </w:p>
    <w:p w14:paraId="4F6CEDA9" w14:textId="26456E82" w:rsidR="000C66C6" w:rsidRPr="000C66C6" w:rsidRDefault="000C66C6" w:rsidP="000C66C6">
      <w:pPr>
        <w:numPr>
          <w:ilvl w:val="0"/>
          <w:numId w:val="4"/>
        </w:numPr>
      </w:pPr>
      <w:r w:rsidRPr="000C66C6">
        <w:rPr>
          <w:b/>
          <w:bCs/>
        </w:rPr>
        <w:t>Financial Planning</w:t>
      </w:r>
      <w:r w:rsidRPr="000C66C6">
        <w:t>: We offer comprehensive financial planning services, including retirement planning, estate planning,</w:t>
      </w:r>
      <w:r w:rsidR="00911878">
        <w:t xml:space="preserve"> portfolio </w:t>
      </w:r>
      <w:r w:rsidR="0095308C">
        <w:t>analysis</w:t>
      </w:r>
      <w:r w:rsidRPr="000C66C6">
        <w:t xml:space="preserve"> and risk management.</w:t>
      </w:r>
    </w:p>
    <w:p w14:paraId="20E65C1D" w14:textId="4CFDDC80" w:rsidR="000C66C6" w:rsidRPr="000C66C6" w:rsidRDefault="000C66C6" w:rsidP="000C66C6">
      <w:pPr>
        <w:numPr>
          <w:ilvl w:val="0"/>
          <w:numId w:val="4"/>
        </w:numPr>
      </w:pPr>
      <w:r w:rsidRPr="000C66C6">
        <w:rPr>
          <w:b/>
          <w:bCs/>
        </w:rPr>
        <w:t>Consulting Services</w:t>
      </w:r>
      <w:r w:rsidRPr="000C66C6">
        <w:t xml:space="preserve">: We provide consulting services on portfolio </w:t>
      </w:r>
      <w:r w:rsidR="00D61FC6">
        <w:t xml:space="preserve">analysis, </w:t>
      </w:r>
      <w:r w:rsidRPr="000C66C6">
        <w:t>construction, asset allocation, and investment policy development.</w:t>
      </w:r>
    </w:p>
    <w:p w14:paraId="406897B5" w14:textId="77777777" w:rsidR="000C66C6" w:rsidRPr="000C66C6" w:rsidRDefault="000C66C6" w:rsidP="000C66C6">
      <w:pPr>
        <w:numPr>
          <w:ilvl w:val="0"/>
          <w:numId w:val="4"/>
        </w:numPr>
      </w:pPr>
      <w:r w:rsidRPr="000C66C6">
        <w:rPr>
          <w:b/>
          <w:bCs/>
        </w:rPr>
        <w:t>Retirement Plan Advisory</w:t>
      </w:r>
      <w:r w:rsidRPr="000C66C6">
        <w:t>: We provide advice to sponsors of retirement plans (such as 401(k) plans) regarding plan design, investment selection, and participant education.</w:t>
      </w:r>
    </w:p>
    <w:p w14:paraId="0790C610" w14:textId="77777777" w:rsidR="000C66C6" w:rsidRPr="000C66C6" w:rsidRDefault="000C66C6" w:rsidP="000C66C6">
      <w:r w:rsidRPr="000C66C6">
        <w:rPr>
          <w:b/>
          <w:bCs/>
        </w:rPr>
        <w:t>C. Client Types</w:t>
      </w:r>
      <w:r w:rsidRPr="000C66C6">
        <w:br/>
        <w:t>We work with a broad range of clients, including:</w:t>
      </w:r>
    </w:p>
    <w:p w14:paraId="580AF5FB" w14:textId="40C0E70D" w:rsidR="000C66C6" w:rsidRPr="000C66C6" w:rsidRDefault="000C66C6" w:rsidP="000C66C6">
      <w:pPr>
        <w:numPr>
          <w:ilvl w:val="0"/>
          <w:numId w:val="5"/>
        </w:numPr>
      </w:pPr>
      <w:r w:rsidRPr="000C66C6">
        <w:t>Individuals and families</w:t>
      </w:r>
      <w:r w:rsidR="006241A7">
        <w:t xml:space="preserve"> </w:t>
      </w:r>
      <w:r w:rsidR="00697D5D">
        <w:t>who are self-directed or work with another advisor</w:t>
      </w:r>
    </w:p>
    <w:p w14:paraId="378B716E" w14:textId="77777777" w:rsidR="000C66C6" w:rsidRPr="000C66C6" w:rsidRDefault="000C66C6" w:rsidP="000C66C6">
      <w:pPr>
        <w:numPr>
          <w:ilvl w:val="0"/>
          <w:numId w:val="5"/>
        </w:numPr>
      </w:pPr>
      <w:r w:rsidRPr="000C66C6">
        <w:t>Pension and profit-sharing plans</w:t>
      </w:r>
    </w:p>
    <w:p w14:paraId="7B8B5B3B" w14:textId="3953B2B4" w:rsidR="000C66C6" w:rsidRPr="000C66C6" w:rsidRDefault="000C66C6" w:rsidP="000C66C6">
      <w:pPr>
        <w:numPr>
          <w:ilvl w:val="0"/>
          <w:numId w:val="5"/>
        </w:numPr>
      </w:pPr>
      <w:r w:rsidRPr="000C66C6">
        <w:t>Charitable organizations</w:t>
      </w:r>
      <w:r w:rsidR="00554AA0">
        <w:t xml:space="preserve"> and schools</w:t>
      </w:r>
    </w:p>
    <w:p w14:paraId="2C37D135" w14:textId="77777777" w:rsidR="000C66C6" w:rsidRPr="000C66C6" w:rsidRDefault="000C66C6" w:rsidP="000C66C6">
      <w:pPr>
        <w:numPr>
          <w:ilvl w:val="0"/>
          <w:numId w:val="5"/>
        </w:numPr>
      </w:pPr>
      <w:r w:rsidRPr="000C66C6">
        <w:t>Corporations</w:t>
      </w:r>
    </w:p>
    <w:p w14:paraId="7461B1F2" w14:textId="72D31A62" w:rsidR="000C66C6" w:rsidRPr="000C66C6" w:rsidRDefault="000C66C6" w:rsidP="000C66C6">
      <w:r w:rsidRPr="000C66C6">
        <w:rPr>
          <w:b/>
          <w:bCs/>
        </w:rPr>
        <w:t>D. Discretionary and Non-Discretionary Services</w:t>
      </w:r>
      <w:r w:rsidRPr="000C66C6">
        <w:br/>
        <w:t xml:space="preserve">Seaport Financial </w:t>
      </w:r>
      <w:r w:rsidR="00D14196">
        <w:t xml:space="preserve">does not </w:t>
      </w:r>
      <w:r w:rsidR="001C1146" w:rsidRPr="000C66C6">
        <w:t>offer</w:t>
      </w:r>
      <w:r w:rsidR="001C1146">
        <w:t xml:space="preserve"> </w:t>
      </w:r>
      <w:r w:rsidR="001C1146" w:rsidRPr="000C66C6">
        <w:t>discretionary</w:t>
      </w:r>
      <w:r w:rsidRPr="000C66C6">
        <w:t xml:space="preserve"> investment management services, meaning that we </w:t>
      </w:r>
      <w:r w:rsidR="00AF4B48">
        <w:t xml:space="preserve">do not </w:t>
      </w:r>
      <w:r w:rsidRPr="000C66C6">
        <w:t xml:space="preserve">make investment decisions on behalf of our clients. </w:t>
      </w:r>
      <w:r w:rsidR="00D14196">
        <w:t xml:space="preserve">We </w:t>
      </w:r>
      <w:r w:rsidR="001C1146">
        <w:t>do this so that we’re able to remain unbiased and product agnostic.  We do</w:t>
      </w:r>
      <w:r w:rsidRPr="000C66C6">
        <w:t xml:space="preserve"> provide non-discretionary services, where clients </w:t>
      </w:r>
      <w:r w:rsidR="00AF4B48">
        <w:t xml:space="preserve">can choose the </w:t>
      </w:r>
      <w:r w:rsidR="00296218">
        <w:t>vendor to custody their assets and leverage our education</w:t>
      </w:r>
      <w:r w:rsidR="00D32C25">
        <w:t xml:space="preserve">, </w:t>
      </w:r>
      <w:r w:rsidR="00296218">
        <w:t>planning services</w:t>
      </w:r>
      <w:r w:rsidR="00D32C25">
        <w:t xml:space="preserve"> and investment advice</w:t>
      </w:r>
      <w:r w:rsidRPr="000C66C6">
        <w:t>.</w:t>
      </w:r>
    </w:p>
    <w:p w14:paraId="62F48CFE" w14:textId="77777777" w:rsidR="000C66C6" w:rsidRPr="000C66C6" w:rsidRDefault="002F6BFF" w:rsidP="000C66C6">
      <w:r>
        <w:pict w14:anchorId="23C81A83">
          <v:rect id="_x0000_i1029" style="width:0;height:1.5pt" o:hralign="center" o:hrstd="t" o:hr="t" fillcolor="#a0a0a0" stroked="f"/>
        </w:pict>
      </w:r>
    </w:p>
    <w:p w14:paraId="5AD1E4AF" w14:textId="77777777" w:rsidR="000C66C6" w:rsidRPr="000C66C6" w:rsidRDefault="000C66C6" w:rsidP="000C66C6">
      <w:r w:rsidRPr="000C66C6">
        <w:rPr>
          <w:b/>
          <w:bCs/>
        </w:rPr>
        <w:t>Item 5: Fees and Compensation</w:t>
      </w:r>
    </w:p>
    <w:p w14:paraId="413EE371" w14:textId="77777777" w:rsidR="000C66C6" w:rsidRPr="000C66C6" w:rsidRDefault="000C66C6" w:rsidP="000C66C6">
      <w:r w:rsidRPr="000C66C6">
        <w:rPr>
          <w:b/>
          <w:bCs/>
        </w:rPr>
        <w:t>A. Fee Structure</w:t>
      </w:r>
      <w:r w:rsidRPr="000C66C6">
        <w:br/>
        <w:t>Seaport Financial charges fees based on the following structures:</w:t>
      </w:r>
    </w:p>
    <w:p w14:paraId="3C1A9001" w14:textId="5E3CEBE9" w:rsidR="009D7014" w:rsidRDefault="000C66C6" w:rsidP="00031A03">
      <w:pPr>
        <w:ind w:left="720"/>
      </w:pPr>
      <w:r w:rsidRPr="000C66C6">
        <w:rPr>
          <w:b/>
          <w:bCs/>
        </w:rPr>
        <w:t>Flat Fee</w:t>
      </w:r>
      <w:r w:rsidR="00031A03">
        <w:rPr>
          <w:b/>
          <w:bCs/>
        </w:rPr>
        <w:t xml:space="preserve"> Financial Planning</w:t>
      </w:r>
      <w:r w:rsidRPr="000C66C6">
        <w:t>: We offer fixed-fee financial planning packages for certain clients, starting at $</w:t>
      </w:r>
      <w:r w:rsidR="00EA171E">
        <w:t>7</w:t>
      </w:r>
      <w:r w:rsidR="00601001">
        <w:t>00</w:t>
      </w:r>
      <w:r w:rsidRPr="000C66C6">
        <w:t xml:space="preserve"> for </w:t>
      </w:r>
      <w:r w:rsidR="002F543C">
        <w:t xml:space="preserve">our </w:t>
      </w:r>
      <w:r w:rsidR="00031A03">
        <w:rPr>
          <w:b/>
          <w:bCs/>
        </w:rPr>
        <w:t>Financial Plan</w:t>
      </w:r>
      <w:r w:rsidR="002F543C">
        <w:t xml:space="preserve"> offering</w:t>
      </w:r>
      <w:r w:rsidRPr="000C66C6">
        <w:t>.</w:t>
      </w:r>
      <w:r w:rsidR="00F979A4">
        <w:t xml:space="preserve">  A </w:t>
      </w:r>
      <w:r w:rsidR="00031A03" w:rsidRPr="00031A03">
        <w:rPr>
          <w:b/>
          <w:bCs/>
        </w:rPr>
        <w:t>Financial Plan</w:t>
      </w:r>
      <w:r w:rsidR="00F979A4">
        <w:t xml:space="preserve"> </w:t>
      </w:r>
      <w:r w:rsidR="001F6ED8">
        <w:lastRenderedPageBreak/>
        <w:t xml:space="preserve">consists of a </w:t>
      </w:r>
      <w:r w:rsidR="001F6ED8" w:rsidRPr="007611C6">
        <w:rPr>
          <w:b/>
          <w:bCs/>
        </w:rPr>
        <w:t>Discovery Meeting</w:t>
      </w:r>
      <w:r w:rsidR="001F6ED8">
        <w:t xml:space="preserve"> where we learn about your si</w:t>
      </w:r>
      <w:r w:rsidR="00F93AE3">
        <w:t>tuation, needs and wants.  We will then utilize the information gathered to build a financial plan</w:t>
      </w:r>
      <w:r w:rsidR="00514AD9">
        <w:t xml:space="preserve"> and portfolio analysis.  We leverage Morningstar</w:t>
      </w:r>
      <w:r w:rsidR="0065139E">
        <w:t>, an independent industry analyst firm,</w:t>
      </w:r>
      <w:r w:rsidR="00514AD9">
        <w:t xml:space="preserve"> for </w:t>
      </w:r>
      <w:r w:rsidR="00910E1E">
        <w:t>portfolio</w:t>
      </w:r>
      <w:r w:rsidR="00514AD9">
        <w:t xml:space="preserve"> analysis and </w:t>
      </w:r>
      <w:proofErr w:type="spellStart"/>
      <w:r w:rsidR="00514AD9">
        <w:t>MoneyGuide</w:t>
      </w:r>
      <w:proofErr w:type="spellEnd"/>
      <w:r w:rsidR="00514AD9">
        <w:t xml:space="preserve"> Pro to identify a probability of success that you’ll be able to </w:t>
      </w:r>
      <w:r w:rsidR="00B232EE">
        <w:t xml:space="preserve">maintain your desired </w:t>
      </w:r>
      <w:r w:rsidR="0065139E">
        <w:t xml:space="preserve">spending and </w:t>
      </w:r>
      <w:r w:rsidR="00B232EE">
        <w:t xml:space="preserve">lifestyle to and through retirement.  We will present the results </w:t>
      </w:r>
      <w:r w:rsidR="0065139E">
        <w:t xml:space="preserve">of our work at </w:t>
      </w:r>
      <w:r w:rsidR="007041E0">
        <w:t xml:space="preserve">our </w:t>
      </w:r>
      <w:r w:rsidR="007041E0" w:rsidRPr="007611C6">
        <w:rPr>
          <w:b/>
          <w:bCs/>
        </w:rPr>
        <w:t>Findings Presentation</w:t>
      </w:r>
      <w:r w:rsidR="007041E0">
        <w:t xml:space="preserve">.  At this meeting, we’ll </w:t>
      </w:r>
      <w:r w:rsidR="00B370D1">
        <w:t>deliver the financial plan</w:t>
      </w:r>
      <w:r w:rsidR="00AA578B">
        <w:t xml:space="preserve">, portfolio </w:t>
      </w:r>
      <w:r w:rsidR="00E83B39">
        <w:t xml:space="preserve">analysis </w:t>
      </w:r>
      <w:r w:rsidR="00AA578B">
        <w:t xml:space="preserve">and investment recommendations </w:t>
      </w:r>
      <w:r w:rsidR="00B370D1">
        <w:t>t</w:t>
      </w:r>
      <w:r w:rsidR="00E83B39">
        <w:t xml:space="preserve">hat we’ve </w:t>
      </w:r>
      <w:proofErr w:type="gramStart"/>
      <w:r w:rsidR="00E83B39">
        <w:t>built</w:t>
      </w:r>
      <w:proofErr w:type="gramEnd"/>
      <w:r w:rsidR="00E83B39">
        <w:t xml:space="preserve"> for you.  </w:t>
      </w:r>
      <w:r w:rsidR="00E96FCB">
        <w:t xml:space="preserve">We’ll analyze your asset allocation, pointing out any areas of </w:t>
      </w:r>
      <w:r w:rsidR="00321D4E">
        <w:t xml:space="preserve">concentration or potential risk.  We’ll discuss issues to consider around allocation, income generation, </w:t>
      </w:r>
      <w:r w:rsidR="00CF26B5">
        <w:t xml:space="preserve">contingency planning and legacy planning.  </w:t>
      </w:r>
      <w:r w:rsidR="00E83B39">
        <w:t xml:space="preserve">We’ll </w:t>
      </w:r>
      <w:r w:rsidR="007041E0">
        <w:t xml:space="preserve">also </w:t>
      </w:r>
      <w:r w:rsidR="0021211B">
        <w:t xml:space="preserve">provide investment recommendations and </w:t>
      </w:r>
      <w:r w:rsidR="007041E0">
        <w:t xml:space="preserve">walk you through </w:t>
      </w:r>
      <w:r w:rsidR="0021211B">
        <w:t xml:space="preserve">the </w:t>
      </w:r>
      <w:r w:rsidR="007041E0">
        <w:t>tools and resources available at your current custodian, or other industry resources</w:t>
      </w:r>
      <w:r w:rsidR="004D658D">
        <w:t xml:space="preserve">, to help you implement our recommendations.  Finally, we’ll </w:t>
      </w:r>
      <w:r w:rsidR="002B798A">
        <w:t xml:space="preserve">schedule an </w:t>
      </w:r>
      <w:r w:rsidR="002B798A" w:rsidRPr="007611C6">
        <w:rPr>
          <w:b/>
          <w:bCs/>
        </w:rPr>
        <w:t>Implementation Follow Up</w:t>
      </w:r>
      <w:r w:rsidR="002B798A">
        <w:t xml:space="preserve"> meeting to ensure you were able to </w:t>
      </w:r>
      <w:r w:rsidR="00F37681">
        <w:t>implement our recommendations and, if not, we’ll work with you to overcome whatever obstacles were in your way.</w:t>
      </w:r>
      <w:r w:rsidR="00FA0F88">
        <w:t xml:space="preserve">  An example of this would be us recommending </w:t>
      </w:r>
      <w:r w:rsidR="00FB6974">
        <w:t xml:space="preserve">that </w:t>
      </w:r>
      <w:r w:rsidR="00FA0F88">
        <w:t xml:space="preserve">you automate your Required Minimum Distribution </w:t>
      </w:r>
      <w:proofErr w:type="gramStart"/>
      <w:r w:rsidR="00FA0F88">
        <w:t>payments,</w:t>
      </w:r>
      <w:proofErr w:type="gramEnd"/>
      <w:r w:rsidR="00FA0F88">
        <w:t xml:space="preserve"> to remove the manual processing and reduce the likelihood you’ll miss a payment.  </w:t>
      </w:r>
      <w:r w:rsidR="00FB6974">
        <w:t xml:space="preserve">We’ll </w:t>
      </w:r>
      <w:r w:rsidR="00741163">
        <w:t xml:space="preserve">have </w:t>
      </w:r>
      <w:r w:rsidR="00FB6974">
        <w:t>provide</w:t>
      </w:r>
      <w:r w:rsidR="00741163">
        <w:t>d</w:t>
      </w:r>
      <w:r w:rsidR="00FB6974">
        <w:t xml:space="preserve"> the phone number to call and the instructions to deliver</w:t>
      </w:r>
      <w:r w:rsidR="00741163">
        <w:t xml:space="preserve"> at the </w:t>
      </w:r>
      <w:r w:rsidR="00741163" w:rsidRPr="00031A03">
        <w:t>Findings Presentation</w:t>
      </w:r>
      <w:r w:rsidR="00FB6974">
        <w:t xml:space="preserve">.  At the Implementation Follow up, if you ran into any issues with getting that done, we’ll call </w:t>
      </w:r>
      <w:r w:rsidR="00F73CB8">
        <w:t xml:space="preserve">the vendor </w:t>
      </w:r>
      <w:r w:rsidR="00FB6974">
        <w:t>together to ensure that what you want done is executed.</w:t>
      </w:r>
      <w:r w:rsidR="002F543C">
        <w:t xml:space="preserve">  The </w:t>
      </w:r>
      <w:r w:rsidR="00031A03">
        <w:t>Financial</w:t>
      </w:r>
      <w:r w:rsidR="002F543C">
        <w:t xml:space="preserve"> Plan is designed to be </w:t>
      </w:r>
      <w:r w:rsidR="00654211">
        <w:t>used to ensure you’re on track to reach your goals and that you’re allocated in manner that is consistent with your goals, time horizon and risk tolerance.</w:t>
      </w:r>
      <w:r w:rsidR="00F73CB8">
        <w:t xml:space="preserve">  </w:t>
      </w:r>
    </w:p>
    <w:p w14:paraId="232113DB" w14:textId="170C3368" w:rsidR="00BC42C3" w:rsidRDefault="00265CB5" w:rsidP="00EA171E">
      <w:pPr>
        <w:ind w:left="720"/>
      </w:pPr>
      <w:r>
        <w:t>Should you wish to retain our education</w:t>
      </w:r>
      <w:r w:rsidR="009D7014">
        <w:t xml:space="preserve"> and planning services beyond the </w:t>
      </w:r>
      <w:r w:rsidR="00031A03">
        <w:t>Financial</w:t>
      </w:r>
      <w:r w:rsidR="009D7014">
        <w:t xml:space="preserve"> Plan, </w:t>
      </w:r>
      <w:r w:rsidR="00B70939">
        <w:t xml:space="preserve">you may be interested in our </w:t>
      </w:r>
      <w:r w:rsidR="00031A03">
        <w:rPr>
          <w:b/>
          <w:bCs/>
        </w:rPr>
        <w:t>Private Client</w:t>
      </w:r>
      <w:r w:rsidR="00B70939">
        <w:t xml:space="preserve"> </w:t>
      </w:r>
      <w:r w:rsidR="00781074">
        <w:t>offer</w:t>
      </w:r>
      <w:r w:rsidR="00205A32">
        <w:t xml:space="preserve"> </w:t>
      </w:r>
      <w:r w:rsidR="0090666A">
        <w:t xml:space="preserve">where </w:t>
      </w:r>
      <w:r w:rsidR="009D7014">
        <w:t>we’ll work on retainer for the year for $</w:t>
      </w:r>
      <w:r w:rsidR="00EA171E">
        <w:t>125 per month, billed quarterly in advance (can be cancelled any time, with 30 days’ notice)</w:t>
      </w:r>
      <w:r w:rsidR="009D7014">
        <w:t xml:space="preserve">.  You’ll receive </w:t>
      </w:r>
      <w:r w:rsidR="001F7CA7">
        <w:t>all</w:t>
      </w:r>
      <w:r w:rsidR="009D7014">
        <w:t xml:space="preserve"> the services of the </w:t>
      </w:r>
      <w:r w:rsidR="00031A03">
        <w:t>Financial</w:t>
      </w:r>
      <w:r w:rsidR="009D7014">
        <w:t xml:space="preserve"> Plan, </w:t>
      </w:r>
      <w:r w:rsidR="00A33D07">
        <w:t xml:space="preserve">plus on-demand access to the advisor for follow-up questions, product reviews/inquiries, economic updates, portfolio analyses or general questions while the subscription is in force.  </w:t>
      </w:r>
      <w:r w:rsidR="00B8441C">
        <w:t>W</w:t>
      </w:r>
      <w:r w:rsidR="009D7014">
        <w:t xml:space="preserve">e’ll be available, on call, for any investment </w:t>
      </w:r>
      <w:r w:rsidR="003425E2">
        <w:t xml:space="preserve">or planning questions.  </w:t>
      </w:r>
      <w:r w:rsidR="00EF6543">
        <w:t xml:space="preserve">We will also work with </w:t>
      </w:r>
      <w:r w:rsidR="008B2B36">
        <w:t xml:space="preserve">you </w:t>
      </w:r>
      <w:r w:rsidR="00EF6543">
        <w:t>to prepare for your meetings with your other financial professionals and will be available to review any recommendations your other financial partners have made.</w:t>
      </w:r>
      <w:r w:rsidR="00E111B8">
        <w:t xml:space="preserve">  We’ll </w:t>
      </w:r>
      <w:r w:rsidR="00AF3DEB">
        <w:t>guide</w:t>
      </w:r>
      <w:r w:rsidR="00E111B8">
        <w:t xml:space="preserve"> you th</w:t>
      </w:r>
      <w:r w:rsidR="00AF3DEB">
        <w:t xml:space="preserve">rough income planning, required minimum distributions and basic estate </w:t>
      </w:r>
      <w:r w:rsidR="00C8692E">
        <w:t xml:space="preserve">planning.  </w:t>
      </w:r>
      <w:r w:rsidR="003425E2">
        <w:t xml:space="preserve">All calls are returned </w:t>
      </w:r>
      <w:r w:rsidR="00C8692E">
        <w:t>the same</w:t>
      </w:r>
      <w:r w:rsidR="003425E2">
        <w:t xml:space="preserve"> day and emails are responded to in 24 hours.</w:t>
      </w:r>
      <w:r w:rsidR="00EA171E">
        <w:t xml:space="preserve">  Know that the </w:t>
      </w:r>
      <w:r w:rsidR="00031A03">
        <w:rPr>
          <w:b/>
          <w:bCs/>
        </w:rPr>
        <w:t>Private Client</w:t>
      </w:r>
      <w:r w:rsidR="00EA171E">
        <w:t xml:space="preserve"> plan requires the </w:t>
      </w:r>
      <w:r w:rsidR="00031A03" w:rsidRPr="00031A03">
        <w:rPr>
          <w:b/>
          <w:bCs/>
        </w:rPr>
        <w:t>F</w:t>
      </w:r>
      <w:r w:rsidR="00EA171E" w:rsidRPr="00031A03">
        <w:rPr>
          <w:b/>
          <w:bCs/>
        </w:rPr>
        <w:t xml:space="preserve">inancial </w:t>
      </w:r>
      <w:r w:rsidR="00031A03" w:rsidRPr="00031A03">
        <w:rPr>
          <w:b/>
          <w:bCs/>
        </w:rPr>
        <w:t>P</w:t>
      </w:r>
      <w:r w:rsidR="00EA171E" w:rsidRPr="00031A03">
        <w:rPr>
          <w:b/>
          <w:bCs/>
        </w:rPr>
        <w:t>lan</w:t>
      </w:r>
      <w:r w:rsidR="00EA171E">
        <w:t xml:space="preserve"> for $700.</w:t>
      </w:r>
    </w:p>
    <w:p w14:paraId="56894A73" w14:textId="255931C4" w:rsidR="001479EB" w:rsidRPr="001479EB" w:rsidRDefault="004804E1" w:rsidP="001479EB">
      <w:pPr>
        <w:ind w:left="720"/>
      </w:pPr>
      <w:r w:rsidRPr="004804E1">
        <w:lastRenderedPageBreak/>
        <w:t>For less complex cases, we offer our</w:t>
      </w:r>
      <w:r w:rsidRPr="004804E1">
        <w:rPr>
          <w:b/>
          <w:bCs/>
        </w:rPr>
        <w:t xml:space="preserve"> </w:t>
      </w:r>
      <w:r w:rsidR="00031A03">
        <w:rPr>
          <w:b/>
          <w:bCs/>
        </w:rPr>
        <w:t>Retirement Plan</w:t>
      </w:r>
      <w:r w:rsidR="001428B0">
        <w:rPr>
          <w:b/>
          <w:bCs/>
        </w:rPr>
        <w:t xml:space="preserve">/Product Pitch </w:t>
      </w:r>
      <w:r w:rsidR="00031A03">
        <w:rPr>
          <w:b/>
          <w:bCs/>
        </w:rPr>
        <w:t>Review</w:t>
      </w:r>
      <w:r w:rsidRPr="004804E1">
        <w:t xml:space="preserve"> service (One time cost of $175) – For those who feel like full financial planning is a bit much right now or would like to learn more about the investment options and important documents of their workplace plan. </w:t>
      </w:r>
      <w:r w:rsidR="000A0042">
        <w:t>Maybe you’ve</w:t>
      </w:r>
      <w:r w:rsidR="001479EB" w:rsidRPr="001479EB">
        <w:t xml:space="preserve"> met with a representative from the plan vendor, but you still have question</w:t>
      </w:r>
      <w:r w:rsidR="000A0042">
        <w:t>s.</w:t>
      </w:r>
      <w:r w:rsidR="001479EB" w:rsidRPr="001479EB">
        <w:t xml:space="preserve"> </w:t>
      </w:r>
      <w:r w:rsidR="00ED55F6">
        <w:t xml:space="preserve">Or maybe </w:t>
      </w:r>
      <w:r w:rsidR="001479EB" w:rsidRPr="001479EB">
        <w:t xml:space="preserve">your broker </w:t>
      </w:r>
      <w:r w:rsidR="00ED55F6">
        <w:t xml:space="preserve">has </w:t>
      </w:r>
      <w:r w:rsidR="001479EB" w:rsidRPr="001479EB">
        <w:t xml:space="preserve">pitched a product you're </w:t>
      </w:r>
      <w:r w:rsidR="00ED55F6" w:rsidRPr="001479EB">
        <w:t>considering,</w:t>
      </w:r>
      <w:r w:rsidR="00ED55F6">
        <w:t xml:space="preserve"> and </w:t>
      </w:r>
      <w:r w:rsidR="001479EB" w:rsidRPr="001479EB">
        <w:t>you'd like an independent, professional review before you commi</w:t>
      </w:r>
      <w:r w:rsidR="00ED55F6">
        <w:t xml:space="preserve">t.  </w:t>
      </w:r>
      <w:r w:rsidR="001479EB" w:rsidRPr="001479EB">
        <w:t xml:space="preserve">Then a </w:t>
      </w:r>
      <w:r w:rsidR="001479EB" w:rsidRPr="001479EB">
        <w:rPr>
          <w:b/>
          <w:bCs/>
        </w:rPr>
        <w:t>Retirement Plan/Product Pitch Review</w:t>
      </w:r>
      <w:r w:rsidR="001479EB" w:rsidRPr="001479EB">
        <w:t xml:space="preserve"> could be for you. We'll meet for an hour and help you understand your employer sponsored plan and investment </w:t>
      </w:r>
      <w:r w:rsidR="001C1F5C" w:rsidRPr="001479EB">
        <w:t>options or</w:t>
      </w:r>
      <w:r w:rsidR="001479EB" w:rsidRPr="001479EB">
        <w:t xml:space="preserve"> walk you through issues to consider when entertaining an investment product recommendation.</w:t>
      </w:r>
    </w:p>
    <w:p w14:paraId="13997A0F" w14:textId="69D6E17A" w:rsidR="004804E1" w:rsidRDefault="004804E1" w:rsidP="004804E1">
      <w:pPr>
        <w:ind w:left="720"/>
        <w:rPr>
          <w:b/>
          <w:bCs/>
          <w:i/>
          <w:iCs/>
        </w:rPr>
      </w:pPr>
      <w:r w:rsidRPr="004804E1">
        <w:rPr>
          <w:b/>
          <w:bCs/>
          <w:i/>
          <w:iCs/>
        </w:rPr>
        <w:t>Know that your employer is required to deliver information to participants about the plan, its investment options, and its operations before participants make investment decisions. This Job Changer offer should only be considered if you’ve already met with your employer or plan representative and are looking for additional information or education.  This offering is educational only. We are unable to offer advice without first building a financial plan.</w:t>
      </w:r>
    </w:p>
    <w:p w14:paraId="25070449" w14:textId="5743CC38" w:rsidR="00031A03" w:rsidRPr="00031A03" w:rsidRDefault="00031A03" w:rsidP="004804E1">
      <w:pPr>
        <w:ind w:left="720"/>
      </w:pPr>
    </w:p>
    <w:p w14:paraId="7F60C549" w14:textId="77777777" w:rsidR="00031A03" w:rsidRPr="0094562C" w:rsidRDefault="00031A03" w:rsidP="00031A03">
      <w:r w:rsidRPr="00031A03">
        <w:rPr>
          <w:b/>
          <w:bCs/>
        </w:rPr>
        <w:t>Curated Group Zoom Meetings</w:t>
      </w:r>
      <w:r>
        <w:t xml:space="preserve"> </w:t>
      </w:r>
      <w:r w:rsidRPr="00031A03">
        <w:rPr>
          <w:rFonts w:eastAsia="Times New Roman" w:cs="Times New Roman"/>
          <w:kern w:val="0"/>
          <w14:ligatures w14:val="none"/>
        </w:rPr>
        <w:t xml:space="preserve">are included with the Private Client offer and are available as a stand-alone purchase for those who may not need full financial </w:t>
      </w:r>
      <w:proofErr w:type="gramStart"/>
      <w:r w:rsidRPr="00031A03">
        <w:rPr>
          <w:rFonts w:eastAsia="Times New Roman" w:cs="Times New Roman"/>
          <w:kern w:val="0"/>
          <w14:ligatures w14:val="none"/>
        </w:rPr>
        <w:t>planning, but</w:t>
      </w:r>
      <w:proofErr w:type="gramEnd"/>
      <w:r w:rsidRPr="00031A03">
        <w:rPr>
          <w:rFonts w:eastAsia="Times New Roman" w:cs="Times New Roman"/>
          <w:kern w:val="0"/>
          <w14:ligatures w14:val="none"/>
        </w:rPr>
        <w:t xml:space="preserve"> are looking to learn.  It’s an ideal solution for those looking to learn, whether younger or older.  Meet with us weekly for </w:t>
      </w:r>
      <w:proofErr w:type="gramStart"/>
      <w:r w:rsidRPr="00031A03">
        <w:rPr>
          <w:rFonts w:eastAsia="Times New Roman" w:cs="Times New Roman"/>
          <w:kern w:val="0"/>
          <w14:ligatures w14:val="none"/>
        </w:rPr>
        <w:t>moderated</w:t>
      </w:r>
      <w:proofErr w:type="gramEnd"/>
      <w:r w:rsidRPr="00031A03">
        <w:rPr>
          <w:rFonts w:eastAsia="Times New Roman" w:cs="Times New Roman"/>
          <w:kern w:val="0"/>
          <w14:ligatures w14:val="none"/>
        </w:rPr>
        <w:t xml:space="preserve"> learning sessions with a tenured Financial Advisor. Students are grouped together by Life Stage to learn from one another and build community.  The goal of these meetings is for people to learn, meet others and stay focused.  Access to these sessions </w:t>
      </w:r>
      <w:proofErr w:type="gramStart"/>
      <w:r w:rsidRPr="00031A03">
        <w:rPr>
          <w:rFonts w:eastAsia="Times New Roman" w:cs="Times New Roman"/>
          <w:kern w:val="0"/>
          <w14:ligatures w14:val="none"/>
        </w:rPr>
        <w:t>cost</w:t>
      </w:r>
      <w:proofErr w:type="gramEnd"/>
      <w:r w:rsidRPr="00031A03">
        <w:rPr>
          <w:rFonts w:eastAsia="Times New Roman" w:cs="Times New Roman"/>
          <w:kern w:val="0"/>
          <w14:ligatures w14:val="none"/>
        </w:rPr>
        <w:t xml:space="preserve"> $125 per month (3 </w:t>
      </w:r>
      <w:proofErr w:type="gramStart"/>
      <w:r w:rsidRPr="00031A03">
        <w:rPr>
          <w:rFonts w:eastAsia="Times New Roman" w:cs="Times New Roman"/>
          <w:kern w:val="0"/>
          <w14:ligatures w14:val="none"/>
        </w:rPr>
        <w:t>month</w:t>
      </w:r>
      <w:proofErr w:type="gramEnd"/>
      <w:r w:rsidRPr="00031A03">
        <w:rPr>
          <w:rFonts w:eastAsia="Times New Roman" w:cs="Times New Roman"/>
          <w:kern w:val="0"/>
          <w14:ligatures w14:val="none"/>
        </w:rPr>
        <w:t xml:space="preserve"> minimum) and can be cancelled at any time with 30 days’ notice.</w:t>
      </w:r>
    </w:p>
    <w:p w14:paraId="0FA4E6AF" w14:textId="5EFE62B9" w:rsidR="00792FE7" w:rsidRDefault="00792FE7" w:rsidP="00031A03">
      <w:r>
        <w:rPr>
          <w:b/>
          <w:bCs/>
        </w:rPr>
        <w:t>Group Education</w:t>
      </w:r>
      <w:r w:rsidR="008B2B36" w:rsidRPr="00792FE7">
        <w:t>:</w:t>
      </w:r>
      <w:r w:rsidR="008B2B36">
        <w:t xml:space="preserve"> We</w:t>
      </w:r>
      <w:r>
        <w:t xml:space="preserve"> offer group education where we may or may not charge a </w:t>
      </w:r>
      <w:r w:rsidR="00C237AA">
        <w:t>fee, depending upon the nature of the presentation, group size and location.</w:t>
      </w:r>
      <w:r w:rsidR="009B4C1C">
        <w:t xml:space="preserve">  All information relayed in group settings is education-only and should not be considered investment advice.</w:t>
      </w:r>
    </w:p>
    <w:p w14:paraId="20D66B98" w14:textId="2490307E" w:rsidR="00BC42C3" w:rsidRPr="000C66C6" w:rsidRDefault="004C3476" w:rsidP="00031A03">
      <w:r>
        <w:rPr>
          <w:b/>
          <w:bCs/>
        </w:rPr>
        <w:t>Estate Settlement Advoca</w:t>
      </w:r>
      <w:r w:rsidR="007128ED">
        <w:rPr>
          <w:b/>
          <w:bCs/>
        </w:rPr>
        <w:t>cy</w:t>
      </w:r>
      <w:r w:rsidR="008B2B36" w:rsidRPr="007128ED">
        <w:t>:</w:t>
      </w:r>
      <w:r w:rsidR="008B2B36">
        <w:t xml:space="preserve"> We</w:t>
      </w:r>
      <w:r w:rsidR="007128ED">
        <w:t xml:space="preserve"> offer assistance and support through settlement of estates.  </w:t>
      </w:r>
      <w:r w:rsidR="001C4CBD">
        <w:t xml:space="preserve">Our goal is to assist with empathy and advocacy as you manage through this difficult time.  </w:t>
      </w:r>
      <w:r w:rsidR="00084E22">
        <w:t xml:space="preserve">We will help you organize your documents, </w:t>
      </w:r>
      <w:r w:rsidR="001E1E00">
        <w:t>coordinate information with other professionals such as attorneys and accountants</w:t>
      </w:r>
      <w:r w:rsidR="007D4115">
        <w:t xml:space="preserve"> and help you navigate the administrative requirements of the financial vendors involved.  Costs for these services vary, depending upon the complexity and duration of the situation.</w:t>
      </w:r>
    </w:p>
    <w:p w14:paraId="66BE4BAE" w14:textId="3BADE941" w:rsidR="000C66C6" w:rsidRPr="000C66C6" w:rsidRDefault="000C66C6" w:rsidP="000C66C6">
      <w:r w:rsidRPr="000C66C6">
        <w:rPr>
          <w:b/>
          <w:bCs/>
        </w:rPr>
        <w:lastRenderedPageBreak/>
        <w:t>B. Payment Terms</w:t>
      </w:r>
      <w:r w:rsidRPr="000C66C6">
        <w:br/>
        <w:t xml:space="preserve">Our fees </w:t>
      </w:r>
      <w:r w:rsidR="00BD5C5F">
        <w:t xml:space="preserve">for individuals and families </w:t>
      </w:r>
      <w:r w:rsidR="00201D14">
        <w:t>are billed half upon signing the client agreement and half before the presentation of our final recommendation</w:t>
      </w:r>
      <w:r w:rsidRPr="000C66C6">
        <w:t xml:space="preserve">. </w:t>
      </w:r>
      <w:r w:rsidR="00BD5C5F">
        <w:t xml:space="preserve">Group presentation fees are billed half prior to the presentation and half at </w:t>
      </w:r>
      <w:r w:rsidR="001D3BEA">
        <w:t>its</w:t>
      </w:r>
      <w:r w:rsidR="00BD5C5F">
        <w:t xml:space="preserve"> conclusion.</w:t>
      </w:r>
    </w:p>
    <w:p w14:paraId="3CAED330" w14:textId="77777777" w:rsidR="00781074" w:rsidRDefault="00781074" w:rsidP="000C66C6">
      <w:pPr>
        <w:rPr>
          <w:b/>
          <w:bCs/>
        </w:rPr>
      </w:pPr>
    </w:p>
    <w:p w14:paraId="2D6A3019" w14:textId="2DA20BE3" w:rsidR="000C66C6" w:rsidRPr="000C66C6" w:rsidRDefault="000C66C6" w:rsidP="000C66C6">
      <w:r w:rsidRPr="000C66C6">
        <w:rPr>
          <w:b/>
          <w:bCs/>
        </w:rPr>
        <w:t>C. Fee Examples</w:t>
      </w:r>
    </w:p>
    <w:p w14:paraId="5DC3F969" w14:textId="264DD565" w:rsidR="000C66C6" w:rsidRPr="000C66C6" w:rsidRDefault="000C66C6" w:rsidP="000C66C6">
      <w:pPr>
        <w:numPr>
          <w:ilvl w:val="0"/>
          <w:numId w:val="7"/>
        </w:numPr>
      </w:pPr>
      <w:r w:rsidRPr="000C66C6">
        <w:t xml:space="preserve">A client </w:t>
      </w:r>
      <w:r w:rsidR="00851541">
        <w:t>will pay $</w:t>
      </w:r>
      <w:r w:rsidR="00EA171E">
        <w:t>7</w:t>
      </w:r>
      <w:r w:rsidR="00851541">
        <w:t xml:space="preserve">00 for the </w:t>
      </w:r>
      <w:r w:rsidR="00910E1E">
        <w:t>Financial</w:t>
      </w:r>
      <w:r w:rsidR="00851541">
        <w:t xml:space="preserve"> Plan that consists of 3 meetings and </w:t>
      </w:r>
      <w:r w:rsidR="00897FA4">
        <w:t>the work involved in the portfolio analysis and construction of the financial plan.</w:t>
      </w:r>
    </w:p>
    <w:p w14:paraId="4244122D" w14:textId="5C69A412" w:rsidR="000C66C6" w:rsidRDefault="000C66C6" w:rsidP="000C66C6">
      <w:pPr>
        <w:numPr>
          <w:ilvl w:val="0"/>
          <w:numId w:val="7"/>
        </w:numPr>
      </w:pPr>
      <w:r w:rsidRPr="000C66C6">
        <w:t xml:space="preserve">A comprehensive financial plan </w:t>
      </w:r>
      <w:r w:rsidR="006F14A9">
        <w:t xml:space="preserve">plus access to our </w:t>
      </w:r>
      <w:r w:rsidR="00910E1E">
        <w:t xml:space="preserve">Private Client </w:t>
      </w:r>
      <w:r w:rsidR="006F14A9">
        <w:t xml:space="preserve">services for the year will cost </w:t>
      </w:r>
      <w:r w:rsidR="0079381F">
        <w:t>$</w:t>
      </w:r>
      <w:r w:rsidR="00EA171E">
        <w:t>700 upfront and $125 per month (billed quarterly in advance and can be cancelled with 30 days’ notice)</w:t>
      </w:r>
      <w:r w:rsidRPr="000C66C6">
        <w:t>.</w:t>
      </w:r>
      <w:r w:rsidR="00EA3D33">
        <w:t xml:space="preserve">  For a client with </w:t>
      </w:r>
      <w:r w:rsidR="00F45C82">
        <w:t>$1million of investable assets, that’s 0.</w:t>
      </w:r>
      <w:r w:rsidR="006278E1">
        <w:t>0</w:t>
      </w:r>
      <w:r w:rsidR="00055BC5">
        <w:t>2</w:t>
      </w:r>
      <w:r w:rsidR="00EA171E">
        <w:t>2</w:t>
      </w:r>
      <w:r w:rsidR="00F45C82">
        <w:t>%</w:t>
      </w:r>
      <w:r w:rsidR="00816F5D">
        <w:t xml:space="preserve"> of the portfolio value.</w:t>
      </w:r>
    </w:p>
    <w:p w14:paraId="7ECB3D09" w14:textId="59AF7D23" w:rsidR="0079381F" w:rsidRPr="000C66C6" w:rsidRDefault="0079381F" w:rsidP="0079381F">
      <w:pPr>
        <w:numPr>
          <w:ilvl w:val="0"/>
          <w:numId w:val="7"/>
        </w:numPr>
      </w:pPr>
      <w:r>
        <w:t xml:space="preserve">The costs of Estate Settlement Advocacy </w:t>
      </w:r>
      <w:r w:rsidR="00910E1E">
        <w:t xml:space="preserve">and Group Education </w:t>
      </w:r>
      <w:r>
        <w:t xml:space="preserve">will vary depending on the </w:t>
      </w:r>
      <w:r w:rsidR="00A52FE8">
        <w:t>complexity and duration of the situation.</w:t>
      </w:r>
    </w:p>
    <w:p w14:paraId="487A2ACE" w14:textId="27C901A6" w:rsidR="000C66C6" w:rsidRPr="000C66C6" w:rsidRDefault="000C66C6" w:rsidP="000C66C6">
      <w:r w:rsidRPr="000C66C6">
        <w:rPr>
          <w:b/>
          <w:bCs/>
        </w:rPr>
        <w:t>D. Fee Transparency</w:t>
      </w:r>
      <w:r w:rsidRPr="000C66C6">
        <w:br/>
        <w:t xml:space="preserve">Clients are informed of the fee structure prior to </w:t>
      </w:r>
      <w:r w:rsidR="00201D14">
        <w:t>en</w:t>
      </w:r>
      <w:r w:rsidRPr="000C66C6">
        <w:t xml:space="preserve">gaging </w:t>
      </w:r>
      <w:r w:rsidR="00455AEA">
        <w:t xml:space="preserve">in </w:t>
      </w:r>
      <w:r w:rsidRPr="000C66C6">
        <w:t>our services. All fees are clearly stated in the advisory agreement.</w:t>
      </w:r>
    </w:p>
    <w:p w14:paraId="11C8EE3D" w14:textId="77777777" w:rsidR="000C66C6" w:rsidRPr="000C66C6" w:rsidRDefault="002F6BFF" w:rsidP="000C66C6">
      <w:r>
        <w:pict w14:anchorId="4EADD141">
          <v:rect id="_x0000_i1030" style="width:0;height:1.5pt" o:hralign="center" o:hrstd="t" o:hr="t" fillcolor="#a0a0a0" stroked="f"/>
        </w:pict>
      </w:r>
    </w:p>
    <w:p w14:paraId="646865FC" w14:textId="579F9183" w:rsidR="000C66C6" w:rsidRPr="000C66C6" w:rsidRDefault="000C66C6" w:rsidP="000C66C6">
      <w:r w:rsidRPr="000C66C6">
        <w:rPr>
          <w:b/>
          <w:bCs/>
        </w:rPr>
        <w:t xml:space="preserve">Item 6: Performance-Based Fees </w:t>
      </w:r>
    </w:p>
    <w:p w14:paraId="141D6DDC" w14:textId="74AE23C7" w:rsidR="000C66C6" w:rsidRPr="000C66C6" w:rsidRDefault="000C66C6" w:rsidP="000C66C6">
      <w:r w:rsidRPr="000C66C6">
        <w:t xml:space="preserve">Seaport Financial does not charge performance-based fees for its advisory services. </w:t>
      </w:r>
    </w:p>
    <w:p w14:paraId="480C4752" w14:textId="77777777" w:rsidR="000C66C6" w:rsidRPr="000C66C6" w:rsidRDefault="002F6BFF" w:rsidP="000C66C6">
      <w:r>
        <w:pict w14:anchorId="7D419742">
          <v:rect id="_x0000_i1031" style="width:0;height:1.5pt" o:hralign="center" o:hrstd="t" o:hr="t" fillcolor="#a0a0a0" stroked="f"/>
        </w:pict>
      </w:r>
    </w:p>
    <w:p w14:paraId="1A18E9AF" w14:textId="77777777" w:rsidR="000C66C6" w:rsidRPr="000C66C6" w:rsidRDefault="000C66C6" w:rsidP="000C66C6">
      <w:r w:rsidRPr="000C66C6">
        <w:rPr>
          <w:b/>
          <w:bCs/>
        </w:rPr>
        <w:t>Item 7: Types of Clients</w:t>
      </w:r>
    </w:p>
    <w:p w14:paraId="48C9B0B2" w14:textId="543AA801" w:rsidR="000C66C6" w:rsidRPr="000C66C6" w:rsidRDefault="000C66C6" w:rsidP="000C66C6">
      <w:r w:rsidRPr="000C66C6">
        <w:t xml:space="preserve">Seaport Financial </w:t>
      </w:r>
      <w:r w:rsidR="008803CE">
        <w:t xml:space="preserve">Education LLC </w:t>
      </w:r>
      <w:r w:rsidRPr="000C66C6">
        <w:t>primarily serves the following types of clients:</w:t>
      </w:r>
    </w:p>
    <w:p w14:paraId="7C8C797F" w14:textId="77777777" w:rsidR="000C66C6" w:rsidRPr="000C66C6" w:rsidRDefault="000C66C6" w:rsidP="000C66C6">
      <w:pPr>
        <w:numPr>
          <w:ilvl w:val="0"/>
          <w:numId w:val="8"/>
        </w:numPr>
      </w:pPr>
      <w:r w:rsidRPr="000C66C6">
        <w:t>Individuals (including high-net-worth individuals and families)</w:t>
      </w:r>
    </w:p>
    <w:p w14:paraId="341DFF5D" w14:textId="04D0F1C2" w:rsidR="000C66C6" w:rsidRPr="000C66C6" w:rsidRDefault="00FE0A33" w:rsidP="000C66C6">
      <w:pPr>
        <w:numPr>
          <w:ilvl w:val="0"/>
          <w:numId w:val="8"/>
        </w:numPr>
      </w:pPr>
      <w:r>
        <w:t xml:space="preserve">Group </w:t>
      </w:r>
      <w:r w:rsidR="008803CE">
        <w:t>retirement plans</w:t>
      </w:r>
    </w:p>
    <w:p w14:paraId="7DDA60EF" w14:textId="776EBB2C" w:rsidR="000C66C6" w:rsidRPr="000C66C6" w:rsidRDefault="000C66C6" w:rsidP="000C66C6">
      <w:pPr>
        <w:numPr>
          <w:ilvl w:val="0"/>
          <w:numId w:val="8"/>
        </w:numPr>
      </w:pPr>
      <w:r w:rsidRPr="000C66C6">
        <w:t>Charitable</w:t>
      </w:r>
      <w:r w:rsidR="008803CE">
        <w:t xml:space="preserve"> and Educational</w:t>
      </w:r>
      <w:r w:rsidRPr="000C66C6">
        <w:t xml:space="preserve"> organizations</w:t>
      </w:r>
    </w:p>
    <w:p w14:paraId="3DC59BF9" w14:textId="77777777" w:rsidR="000C66C6" w:rsidRPr="000C66C6" w:rsidRDefault="002F6BFF" w:rsidP="000C66C6">
      <w:r>
        <w:pict w14:anchorId="5854A75A">
          <v:rect id="_x0000_i1032" style="width:0;height:1.5pt" o:hralign="center" o:hrstd="t" o:hr="t" fillcolor="#a0a0a0" stroked="f"/>
        </w:pict>
      </w:r>
    </w:p>
    <w:p w14:paraId="60FD6FB4" w14:textId="34ABBA24" w:rsidR="000C66C6" w:rsidRPr="000C66C6" w:rsidRDefault="000C66C6" w:rsidP="000C66C6">
      <w:r w:rsidRPr="000C66C6">
        <w:rPr>
          <w:b/>
          <w:bCs/>
        </w:rPr>
        <w:t xml:space="preserve">Item 8: </w:t>
      </w:r>
      <w:r w:rsidR="00027461">
        <w:rPr>
          <w:b/>
          <w:bCs/>
        </w:rPr>
        <w:t>Planning Process</w:t>
      </w:r>
      <w:r w:rsidRPr="000C66C6">
        <w:rPr>
          <w:b/>
          <w:bCs/>
        </w:rPr>
        <w:t xml:space="preserve">, </w:t>
      </w:r>
      <w:r w:rsidR="0036729E">
        <w:rPr>
          <w:b/>
          <w:bCs/>
        </w:rPr>
        <w:t>Methods of Analysis</w:t>
      </w:r>
      <w:r w:rsidRPr="000C66C6">
        <w:rPr>
          <w:b/>
          <w:bCs/>
        </w:rPr>
        <w:t xml:space="preserve"> and Risk of Loss</w:t>
      </w:r>
    </w:p>
    <w:p w14:paraId="45E8E61A" w14:textId="5147D8B4" w:rsidR="000C66C6" w:rsidRPr="000C66C6" w:rsidRDefault="00027461" w:rsidP="000C66C6">
      <w:r>
        <w:rPr>
          <w:b/>
          <w:bCs/>
        </w:rPr>
        <w:lastRenderedPageBreak/>
        <w:t>A</w:t>
      </w:r>
      <w:r w:rsidR="000C66C6" w:rsidRPr="000C66C6">
        <w:rPr>
          <w:b/>
          <w:bCs/>
        </w:rPr>
        <w:t xml:space="preserve">. </w:t>
      </w:r>
      <w:r w:rsidR="00FB6261">
        <w:rPr>
          <w:b/>
          <w:bCs/>
        </w:rPr>
        <w:t>Planning</w:t>
      </w:r>
      <w:r w:rsidR="000C66C6" w:rsidRPr="000C66C6">
        <w:rPr>
          <w:b/>
          <w:bCs/>
        </w:rPr>
        <w:t xml:space="preserve"> </w:t>
      </w:r>
      <w:r w:rsidR="000517E8">
        <w:rPr>
          <w:b/>
          <w:bCs/>
        </w:rPr>
        <w:t>Process</w:t>
      </w:r>
      <w:r w:rsidR="000C66C6" w:rsidRPr="000C66C6">
        <w:br/>
        <w:t xml:space="preserve">The Firm employs the following </w:t>
      </w:r>
      <w:r w:rsidR="00FB6261">
        <w:t>planning</w:t>
      </w:r>
      <w:r w:rsidR="000C66C6" w:rsidRPr="000C66C6">
        <w:t xml:space="preserve"> strategies:</w:t>
      </w:r>
    </w:p>
    <w:p w14:paraId="12D046FE" w14:textId="2DC49C57" w:rsidR="000C66C6" w:rsidRPr="000C66C6" w:rsidRDefault="0048153F" w:rsidP="000C66C6">
      <w:pPr>
        <w:numPr>
          <w:ilvl w:val="0"/>
          <w:numId w:val="10"/>
        </w:numPr>
      </w:pPr>
      <w:r>
        <w:rPr>
          <w:b/>
          <w:bCs/>
        </w:rPr>
        <w:t>Needs Analysis</w:t>
      </w:r>
      <w:r w:rsidR="000C66C6" w:rsidRPr="000C66C6">
        <w:t xml:space="preserve">: </w:t>
      </w:r>
      <w:r w:rsidR="00EC6482">
        <w:t xml:space="preserve">Our planners </w:t>
      </w:r>
      <w:r w:rsidR="00D14F4A">
        <w:t xml:space="preserve">meet with you to uncover your financial needs, wants, time horizon and </w:t>
      </w:r>
      <w:r w:rsidR="00C55C10">
        <w:t>appetite for risk</w:t>
      </w:r>
      <w:r w:rsidR="00F06049">
        <w:t>, along with other personal and family needs.</w:t>
      </w:r>
    </w:p>
    <w:p w14:paraId="5B40460E" w14:textId="2E5CCC74" w:rsidR="000C66C6" w:rsidRPr="000C66C6" w:rsidRDefault="0061023E" w:rsidP="000C66C6">
      <w:pPr>
        <w:numPr>
          <w:ilvl w:val="0"/>
          <w:numId w:val="10"/>
        </w:numPr>
      </w:pPr>
      <w:r>
        <w:rPr>
          <w:b/>
          <w:bCs/>
        </w:rPr>
        <w:t>Financial Plan delivery</w:t>
      </w:r>
      <w:r w:rsidR="000C66C6" w:rsidRPr="000C66C6">
        <w:t xml:space="preserve">: </w:t>
      </w:r>
      <w:r w:rsidR="00E51E4C">
        <w:t>Leveraging Monte Carlo-like simulation software, such as Money Guide Pro, w</w:t>
      </w:r>
      <w:r w:rsidR="002A7242">
        <w:t xml:space="preserve">e deliver financial plans to help </w:t>
      </w:r>
      <w:r w:rsidR="00B120D3">
        <w:t xml:space="preserve">and motivate </w:t>
      </w:r>
      <w:r w:rsidR="002A7242">
        <w:t xml:space="preserve">investors </w:t>
      </w:r>
      <w:r w:rsidR="002E74ED">
        <w:t>in</w:t>
      </w:r>
      <w:r w:rsidR="00B375B5">
        <w:t xml:space="preserve"> creat</w:t>
      </w:r>
      <w:r w:rsidR="002E74ED">
        <w:t>ing</w:t>
      </w:r>
      <w:r w:rsidR="00B375B5">
        <w:t xml:space="preserve"> and implement</w:t>
      </w:r>
      <w:r w:rsidR="002E74ED">
        <w:t>ing</w:t>
      </w:r>
      <w:r w:rsidR="00B375B5">
        <w:t xml:space="preserve"> strategies that best meet their </w:t>
      </w:r>
      <w:r w:rsidR="00DC19BE">
        <w:t xml:space="preserve">lifetime financial goals.  </w:t>
      </w:r>
      <w:r w:rsidR="002E74ED">
        <w:t xml:space="preserve">It is here that we make our recommendations around savings strategies, </w:t>
      </w:r>
      <w:r w:rsidR="00576945">
        <w:t xml:space="preserve">asset allocation, </w:t>
      </w:r>
      <w:r w:rsidR="00470E95">
        <w:t xml:space="preserve">portfolio management, </w:t>
      </w:r>
      <w:r w:rsidR="00576945">
        <w:t>income strategies, contingency plans, and estate planning.</w:t>
      </w:r>
      <w:r w:rsidR="008A086D">
        <w:t xml:space="preserve">  We also will identify the main risks you’re assuming in your current strategy and </w:t>
      </w:r>
      <w:r w:rsidR="007F788B">
        <w:t>offer ideas</w:t>
      </w:r>
      <w:r w:rsidR="008A086D">
        <w:t xml:space="preserve"> to </w:t>
      </w:r>
      <w:r w:rsidR="002015BD">
        <w:t>avoid, mitigate or transfer those risks.</w:t>
      </w:r>
    </w:p>
    <w:p w14:paraId="4BCC6160" w14:textId="5753E022" w:rsidR="000C66C6" w:rsidRDefault="00DC19BE" w:rsidP="000C66C6">
      <w:pPr>
        <w:numPr>
          <w:ilvl w:val="0"/>
          <w:numId w:val="10"/>
        </w:numPr>
      </w:pPr>
      <w:r>
        <w:rPr>
          <w:b/>
          <w:bCs/>
        </w:rPr>
        <w:t>Implementation follow-up</w:t>
      </w:r>
      <w:r w:rsidR="000C66C6" w:rsidRPr="000C66C6">
        <w:t xml:space="preserve">: We </w:t>
      </w:r>
      <w:r>
        <w:t xml:space="preserve">get together with our clients </w:t>
      </w:r>
      <w:r w:rsidR="006F7F07">
        <w:t xml:space="preserve">to follow up with them to ensure they’ve been able to implement and execute our planning recommendations.  Should they have encountered any difficulty in the implementation, we </w:t>
      </w:r>
      <w:r w:rsidR="00B95151">
        <w:t xml:space="preserve">help them work with their vendors to </w:t>
      </w:r>
      <w:r w:rsidR="00FE3979">
        <w:t>ensure our clients are able to enact and accomplish all they’re looking to do.</w:t>
      </w:r>
      <w:r w:rsidR="00F35036">
        <w:t xml:space="preserve">  We work with </w:t>
      </w:r>
      <w:r w:rsidR="00F61EAC">
        <w:t>your</w:t>
      </w:r>
      <w:r w:rsidR="00F35036">
        <w:t xml:space="preserve"> other financial partners, </w:t>
      </w:r>
      <w:r w:rsidR="00B0621E">
        <w:t>like accountants and estate attorneys, to help you in managing your financial plan.</w:t>
      </w:r>
    </w:p>
    <w:p w14:paraId="0033D6E5" w14:textId="0C73B412" w:rsidR="00027461" w:rsidRPr="000C66C6" w:rsidRDefault="00027461" w:rsidP="00027461">
      <w:r>
        <w:rPr>
          <w:b/>
          <w:bCs/>
        </w:rPr>
        <w:t>B</w:t>
      </w:r>
      <w:r w:rsidRPr="000C66C6">
        <w:rPr>
          <w:b/>
          <w:bCs/>
        </w:rPr>
        <w:t>. Methods of Analysis</w:t>
      </w:r>
      <w:r w:rsidRPr="000C66C6">
        <w:br/>
        <w:t xml:space="preserve">Seaport Financial uses </w:t>
      </w:r>
      <w:r>
        <w:t xml:space="preserve">tools from Morningstar, an independent industry analyst firm, </w:t>
      </w:r>
      <w:r w:rsidRPr="000C66C6">
        <w:t xml:space="preserve">to evaluate </w:t>
      </w:r>
      <w:r>
        <w:t>portfolios</w:t>
      </w:r>
      <w:r w:rsidRPr="000C66C6">
        <w:t xml:space="preserve">. Our </w:t>
      </w:r>
      <w:r>
        <w:t xml:space="preserve">evaluation </w:t>
      </w:r>
      <w:r w:rsidRPr="000C66C6">
        <w:t>process involves</w:t>
      </w:r>
      <w:r w:rsidR="006B64CE">
        <w:t xml:space="preserve"> reviews of the following</w:t>
      </w:r>
      <w:r w:rsidRPr="000C66C6">
        <w:t>:</w:t>
      </w:r>
    </w:p>
    <w:p w14:paraId="5FC7BE52" w14:textId="77777777" w:rsidR="00027461" w:rsidRPr="000C66C6" w:rsidRDefault="00027461" w:rsidP="00027461">
      <w:pPr>
        <w:numPr>
          <w:ilvl w:val="0"/>
          <w:numId w:val="9"/>
        </w:numPr>
      </w:pPr>
      <w:r>
        <w:rPr>
          <w:b/>
          <w:bCs/>
        </w:rPr>
        <w:t>Market cap exposure</w:t>
      </w:r>
      <w:r w:rsidRPr="000C66C6">
        <w:t xml:space="preserve">: </w:t>
      </w:r>
      <w:r>
        <w:t>A measure of exposure to companies of various market capitalizations</w:t>
      </w:r>
    </w:p>
    <w:p w14:paraId="0CDD334C" w14:textId="516E6784" w:rsidR="00027461" w:rsidRPr="000C66C6" w:rsidRDefault="00027461" w:rsidP="00027461">
      <w:pPr>
        <w:numPr>
          <w:ilvl w:val="0"/>
          <w:numId w:val="9"/>
        </w:numPr>
      </w:pPr>
      <w:r>
        <w:rPr>
          <w:b/>
          <w:bCs/>
        </w:rPr>
        <w:t>Sector and industry exposure</w:t>
      </w:r>
      <w:r w:rsidRPr="000C66C6">
        <w:t xml:space="preserve">: </w:t>
      </w:r>
      <w:r>
        <w:t xml:space="preserve">We identify portfolio exposure to sectors and industries to identify underweights and </w:t>
      </w:r>
      <w:r w:rsidR="00EA171E">
        <w:t>overweight’s</w:t>
      </w:r>
      <w:r>
        <w:t xml:space="preserve"> relative to a benchmark</w:t>
      </w:r>
      <w:r w:rsidRPr="000C66C6">
        <w:t>.</w:t>
      </w:r>
      <w:r>
        <w:t xml:space="preserve">  Outsized exposure to any one area of the market can expose you to outsized risk.</w:t>
      </w:r>
    </w:p>
    <w:p w14:paraId="1D05B4DE" w14:textId="77777777" w:rsidR="00027461" w:rsidRPr="000C66C6" w:rsidRDefault="00027461" w:rsidP="00027461">
      <w:pPr>
        <w:numPr>
          <w:ilvl w:val="0"/>
          <w:numId w:val="9"/>
        </w:numPr>
      </w:pPr>
      <w:r>
        <w:rPr>
          <w:b/>
          <w:bCs/>
        </w:rPr>
        <w:t>Investment correlation</w:t>
      </w:r>
      <w:r w:rsidRPr="000C66C6">
        <w:t xml:space="preserve">: We use </w:t>
      </w:r>
      <w:r>
        <w:t>Morningstar tools to illustrate correlation, or lack thereof, of investments relation to one another within a portfolio</w:t>
      </w:r>
      <w:r w:rsidRPr="000C66C6">
        <w:t>.</w:t>
      </w:r>
      <w:r>
        <w:t xml:space="preserve">  </w:t>
      </w:r>
    </w:p>
    <w:p w14:paraId="0BDF9F30" w14:textId="77777777" w:rsidR="005042DD" w:rsidRPr="000C66C6" w:rsidRDefault="005042DD" w:rsidP="005042DD"/>
    <w:p w14:paraId="7AC074FE" w14:textId="77777777" w:rsidR="000C66C6" w:rsidRPr="000C66C6" w:rsidRDefault="000C66C6" w:rsidP="000C66C6">
      <w:r w:rsidRPr="000C66C6">
        <w:rPr>
          <w:b/>
          <w:bCs/>
        </w:rPr>
        <w:t>C. Risks</w:t>
      </w:r>
      <w:r w:rsidRPr="000C66C6">
        <w:br/>
        <w:t>Investing in securities involves risks. Clients should be aware of the following risks:</w:t>
      </w:r>
    </w:p>
    <w:p w14:paraId="44551B4D" w14:textId="77777777" w:rsidR="000C66C6" w:rsidRPr="000C66C6" w:rsidRDefault="000C66C6" w:rsidP="000C66C6">
      <w:pPr>
        <w:numPr>
          <w:ilvl w:val="0"/>
          <w:numId w:val="11"/>
        </w:numPr>
      </w:pPr>
      <w:r w:rsidRPr="000C66C6">
        <w:rPr>
          <w:b/>
          <w:bCs/>
        </w:rPr>
        <w:lastRenderedPageBreak/>
        <w:t>Market risk</w:t>
      </w:r>
      <w:r w:rsidRPr="000C66C6">
        <w:t>: The possibility that the value of investments will decline due to market conditions.</w:t>
      </w:r>
    </w:p>
    <w:p w14:paraId="10052986" w14:textId="77777777" w:rsidR="000C66C6" w:rsidRPr="000C66C6" w:rsidRDefault="000C66C6" w:rsidP="000C66C6">
      <w:pPr>
        <w:numPr>
          <w:ilvl w:val="0"/>
          <w:numId w:val="11"/>
        </w:numPr>
      </w:pPr>
      <w:r w:rsidRPr="000C66C6">
        <w:rPr>
          <w:b/>
          <w:bCs/>
        </w:rPr>
        <w:t>Interest rate risk</w:t>
      </w:r>
      <w:r w:rsidRPr="000C66C6">
        <w:t>: The risk that interest rates will rise, negatively impacting the value of fixed income securities.</w:t>
      </w:r>
    </w:p>
    <w:p w14:paraId="3116B746" w14:textId="77777777" w:rsidR="000C66C6" w:rsidRPr="000C66C6" w:rsidRDefault="000C66C6" w:rsidP="000C66C6">
      <w:pPr>
        <w:numPr>
          <w:ilvl w:val="0"/>
          <w:numId w:val="11"/>
        </w:numPr>
      </w:pPr>
      <w:r w:rsidRPr="000C66C6">
        <w:rPr>
          <w:b/>
          <w:bCs/>
        </w:rPr>
        <w:t>Liquidity risk</w:t>
      </w:r>
      <w:r w:rsidRPr="000C66C6">
        <w:t>: The risk that an investment may not be easily sold or converted into cash.</w:t>
      </w:r>
    </w:p>
    <w:p w14:paraId="4F81B7BE" w14:textId="77777777" w:rsidR="000C66C6" w:rsidRDefault="000C66C6" w:rsidP="000C66C6">
      <w:pPr>
        <w:numPr>
          <w:ilvl w:val="0"/>
          <w:numId w:val="11"/>
        </w:numPr>
      </w:pPr>
      <w:r w:rsidRPr="000C66C6">
        <w:rPr>
          <w:b/>
          <w:bCs/>
        </w:rPr>
        <w:t>Inflation risk</w:t>
      </w:r>
      <w:r w:rsidRPr="000C66C6">
        <w:t>: The risk that inflation will erode the value of investment returns over time.</w:t>
      </w:r>
    </w:p>
    <w:p w14:paraId="0122F5F8" w14:textId="5DF84D7F" w:rsidR="00A41EA9" w:rsidRPr="000C66C6" w:rsidRDefault="00A41EA9" w:rsidP="000C66C6">
      <w:pPr>
        <w:numPr>
          <w:ilvl w:val="0"/>
          <w:numId w:val="11"/>
        </w:numPr>
      </w:pPr>
      <w:r>
        <w:rPr>
          <w:b/>
          <w:bCs/>
        </w:rPr>
        <w:t>Longevity risk</w:t>
      </w:r>
      <w:r w:rsidR="006936A4" w:rsidRPr="00A41EA9">
        <w:t>:</w:t>
      </w:r>
      <w:r w:rsidR="006936A4">
        <w:t xml:space="preserve"> The</w:t>
      </w:r>
      <w:r>
        <w:t xml:space="preserve"> risk that you outlive your money.</w:t>
      </w:r>
    </w:p>
    <w:p w14:paraId="3E72E085" w14:textId="77777777" w:rsidR="000C66C6" w:rsidRPr="000C66C6" w:rsidRDefault="002F6BFF" w:rsidP="000C66C6">
      <w:r>
        <w:pict w14:anchorId="42A50295">
          <v:rect id="_x0000_i1033" style="width:0;height:1.5pt" o:hralign="center" o:hrstd="t" o:hr="t" fillcolor="#a0a0a0" stroked="f"/>
        </w:pict>
      </w:r>
    </w:p>
    <w:p w14:paraId="5E5115FB" w14:textId="77777777" w:rsidR="00910E1E" w:rsidRDefault="00910E1E" w:rsidP="000C66C6">
      <w:pPr>
        <w:rPr>
          <w:b/>
          <w:bCs/>
        </w:rPr>
      </w:pPr>
    </w:p>
    <w:p w14:paraId="581C28C1" w14:textId="1A418326" w:rsidR="000C66C6" w:rsidRPr="000C66C6" w:rsidRDefault="000C66C6" w:rsidP="000C66C6">
      <w:r w:rsidRPr="000C66C6">
        <w:rPr>
          <w:b/>
          <w:bCs/>
        </w:rPr>
        <w:t>Item 9: Disciplinary Information</w:t>
      </w:r>
    </w:p>
    <w:p w14:paraId="4B54572B" w14:textId="77777777" w:rsidR="000C66C6" w:rsidRPr="000C66C6" w:rsidRDefault="000C66C6" w:rsidP="000C66C6">
      <w:r w:rsidRPr="000C66C6">
        <w:t>As of the date of this brochure, Seaport Financial LLC has no disciplinary history or sanctions to report.</w:t>
      </w:r>
    </w:p>
    <w:p w14:paraId="7DA0EB67" w14:textId="77777777" w:rsidR="000C66C6" w:rsidRPr="000C66C6" w:rsidRDefault="002F6BFF" w:rsidP="000C66C6">
      <w:r>
        <w:pict w14:anchorId="4F60F4A1">
          <v:rect id="_x0000_i1034" style="width:0;height:1.5pt" o:hralign="center" o:hrstd="t" o:hr="t" fillcolor="#a0a0a0" stroked="f"/>
        </w:pict>
      </w:r>
    </w:p>
    <w:p w14:paraId="2173C601" w14:textId="77777777" w:rsidR="000C66C6" w:rsidRPr="000C66C6" w:rsidRDefault="000C66C6" w:rsidP="000C66C6">
      <w:r w:rsidRPr="000C66C6">
        <w:rPr>
          <w:b/>
          <w:bCs/>
        </w:rPr>
        <w:t>Item 10: Other Financial Industry Activities and Affiliations</w:t>
      </w:r>
    </w:p>
    <w:p w14:paraId="717FEA4E" w14:textId="6B19699E" w:rsidR="000C66C6" w:rsidRPr="000C66C6" w:rsidRDefault="000C66C6" w:rsidP="000C66C6">
      <w:r w:rsidRPr="000C66C6">
        <w:t>Seaport Financial</w:t>
      </w:r>
      <w:r w:rsidR="009575E1">
        <w:t xml:space="preserve"> Education LLC</w:t>
      </w:r>
      <w:r w:rsidRPr="000C66C6">
        <w:t xml:space="preserve"> does not have any affiliated businesses in other areas of the financial industry, such as broker-dealers, banks, or insurance companies. We do not receive commissions or other compensation from third parties for recommending their products.</w:t>
      </w:r>
    </w:p>
    <w:p w14:paraId="534C9949" w14:textId="77777777" w:rsidR="000C66C6" w:rsidRPr="000C66C6" w:rsidRDefault="002F6BFF" w:rsidP="000C66C6">
      <w:r>
        <w:pict w14:anchorId="5595B0E9">
          <v:rect id="_x0000_i1035" style="width:0;height:1.5pt" o:hralign="center" o:hrstd="t" o:hr="t" fillcolor="#a0a0a0" stroked="f"/>
        </w:pict>
      </w:r>
    </w:p>
    <w:p w14:paraId="3CA1758A" w14:textId="77777777" w:rsidR="000C66C6" w:rsidRPr="000C66C6" w:rsidRDefault="000C66C6" w:rsidP="000C66C6">
      <w:r w:rsidRPr="000C66C6">
        <w:rPr>
          <w:b/>
          <w:bCs/>
        </w:rPr>
        <w:t>Item 11: Code of Ethics, Participation or Interest in Client Transactions, and Personal Trading</w:t>
      </w:r>
    </w:p>
    <w:p w14:paraId="1926F7D1" w14:textId="364CAF65" w:rsidR="000C66C6" w:rsidRPr="000C66C6" w:rsidRDefault="000C66C6" w:rsidP="000C66C6">
      <w:r w:rsidRPr="000C66C6">
        <w:rPr>
          <w:b/>
          <w:bCs/>
        </w:rPr>
        <w:t>A. Code of Ethics</w:t>
      </w:r>
      <w:r w:rsidRPr="000C66C6">
        <w:br/>
        <w:t xml:space="preserve">Seaport Financial </w:t>
      </w:r>
      <w:r w:rsidR="009575E1">
        <w:t xml:space="preserve">Education LLC </w:t>
      </w:r>
      <w:r w:rsidRPr="000C66C6">
        <w:t>adheres to a strict Code of Ethics and strives to act in the best interests of our clients. Our Code of Ethics includes policies on confidentiality, conflicts of interest, and personal trading.</w:t>
      </w:r>
    </w:p>
    <w:p w14:paraId="06FDC7C0" w14:textId="4ADA1382" w:rsidR="000C66C6" w:rsidRPr="000C66C6" w:rsidRDefault="000C66C6" w:rsidP="000C66C6">
      <w:r w:rsidRPr="000C66C6">
        <w:rPr>
          <w:b/>
          <w:bCs/>
        </w:rPr>
        <w:t>B. Personal Trading</w:t>
      </w:r>
      <w:r w:rsidRPr="000C66C6">
        <w:br/>
        <w:t xml:space="preserve">Employees of Seaport Financial </w:t>
      </w:r>
      <w:r w:rsidR="009575E1">
        <w:t xml:space="preserve">Education LLC </w:t>
      </w:r>
      <w:r w:rsidRPr="000C66C6">
        <w:t xml:space="preserve">are allowed to engage in personal </w:t>
      </w:r>
      <w:proofErr w:type="gramStart"/>
      <w:r w:rsidRPr="000C66C6">
        <w:t>trading, but</w:t>
      </w:r>
      <w:proofErr w:type="gramEnd"/>
      <w:r w:rsidRPr="000C66C6">
        <w:t xml:space="preserve"> must comply with the Firm's policies designed to prevent conflicts of interest. We </w:t>
      </w:r>
      <w:r w:rsidRPr="000C66C6">
        <w:lastRenderedPageBreak/>
        <w:t>maintain a list of personal transactions to ensure that employees' trading does not adversely affect clients.</w:t>
      </w:r>
    </w:p>
    <w:p w14:paraId="50E4B46A" w14:textId="77777777" w:rsidR="000C66C6" w:rsidRPr="000C66C6" w:rsidRDefault="002F6BFF" w:rsidP="000C66C6">
      <w:r>
        <w:pict w14:anchorId="6AB0AE1D">
          <v:rect id="_x0000_i1036" style="width:0;height:1.5pt" o:hralign="center" o:hrstd="t" o:hr="t" fillcolor="#a0a0a0" stroked="f"/>
        </w:pict>
      </w:r>
    </w:p>
    <w:p w14:paraId="70EA3207" w14:textId="77777777" w:rsidR="000C66C6" w:rsidRPr="000C66C6" w:rsidRDefault="000C66C6" w:rsidP="000C66C6">
      <w:r w:rsidRPr="000C66C6">
        <w:rPr>
          <w:b/>
          <w:bCs/>
        </w:rPr>
        <w:t>Item 12: Brokerage Practices</w:t>
      </w:r>
    </w:p>
    <w:p w14:paraId="638E297B" w14:textId="17A12476" w:rsidR="000C66C6" w:rsidRPr="000C66C6" w:rsidRDefault="000C66C6" w:rsidP="000C66C6">
      <w:r w:rsidRPr="000C66C6">
        <w:t xml:space="preserve">Seaport Financial </w:t>
      </w:r>
      <w:r w:rsidR="009575E1">
        <w:t xml:space="preserve">Education LLC </w:t>
      </w:r>
      <w:r w:rsidRPr="000C66C6">
        <w:t xml:space="preserve">does not </w:t>
      </w:r>
      <w:r w:rsidR="00A75631">
        <w:t xml:space="preserve">offer or sell any investment products.  We offer unbiased financial planning, education and guidance for a </w:t>
      </w:r>
      <w:r w:rsidR="00387E83">
        <w:t>flat fee</w:t>
      </w:r>
      <w:r w:rsidR="00A75631">
        <w:t>.</w:t>
      </w:r>
    </w:p>
    <w:p w14:paraId="5FDA4619" w14:textId="77777777" w:rsidR="000C66C6" w:rsidRPr="000C66C6" w:rsidRDefault="002F6BFF" w:rsidP="000C66C6">
      <w:r>
        <w:pict w14:anchorId="171475B7">
          <v:rect id="_x0000_i1037" style="width:0;height:1.5pt" o:hralign="center" o:hrstd="t" o:hr="t" fillcolor="#a0a0a0" stroked="f"/>
        </w:pict>
      </w:r>
    </w:p>
    <w:p w14:paraId="53C014EF" w14:textId="77777777" w:rsidR="000C66C6" w:rsidRPr="000C66C6" w:rsidRDefault="000C66C6" w:rsidP="000C66C6">
      <w:r w:rsidRPr="000C66C6">
        <w:rPr>
          <w:b/>
          <w:bCs/>
        </w:rPr>
        <w:t>Item 13: Review of Accounts</w:t>
      </w:r>
    </w:p>
    <w:p w14:paraId="0AEFE53A" w14:textId="0295F2D3" w:rsidR="000C66C6" w:rsidRPr="000C66C6" w:rsidRDefault="000C66C6" w:rsidP="000C66C6">
      <w:r w:rsidRPr="000C66C6">
        <w:t xml:space="preserve">Seaport Financial </w:t>
      </w:r>
      <w:r w:rsidR="009575E1">
        <w:t xml:space="preserve">Education LLC </w:t>
      </w:r>
      <w:r w:rsidRPr="000C66C6">
        <w:t xml:space="preserve">reviews client accounts at least </w:t>
      </w:r>
      <w:r w:rsidR="00095593">
        <w:t>annual</w:t>
      </w:r>
      <w:r w:rsidRPr="000C66C6">
        <w:t xml:space="preserve">ly, </w:t>
      </w:r>
      <w:r w:rsidR="00F97562">
        <w:t xml:space="preserve">if the client has chosen such a </w:t>
      </w:r>
      <w:r w:rsidR="00870F95">
        <w:t xml:space="preserve">service </w:t>
      </w:r>
      <w:r w:rsidR="00F97562">
        <w:t xml:space="preserve">plan, </w:t>
      </w:r>
      <w:r w:rsidRPr="000C66C6">
        <w:t xml:space="preserve">and more frequently </w:t>
      </w:r>
      <w:r w:rsidR="00A75631">
        <w:t>should</w:t>
      </w:r>
      <w:r w:rsidRPr="000C66C6">
        <w:t xml:space="preserve"> the client’s circumstances or the market conditions change. </w:t>
      </w:r>
    </w:p>
    <w:p w14:paraId="303991BA" w14:textId="77777777" w:rsidR="000C66C6" w:rsidRPr="000C66C6" w:rsidRDefault="002F6BFF" w:rsidP="000C66C6">
      <w:r>
        <w:pict w14:anchorId="06F4A588">
          <v:rect id="_x0000_i1038" style="width:0;height:1.5pt" o:hralign="center" o:hrstd="t" o:hr="t" fillcolor="#a0a0a0" stroked="f"/>
        </w:pict>
      </w:r>
    </w:p>
    <w:p w14:paraId="2B985421" w14:textId="77777777" w:rsidR="000C66C6" w:rsidRDefault="000C66C6" w:rsidP="000C66C6">
      <w:pPr>
        <w:rPr>
          <w:b/>
          <w:bCs/>
        </w:rPr>
      </w:pPr>
      <w:r w:rsidRPr="000C66C6">
        <w:rPr>
          <w:b/>
          <w:bCs/>
        </w:rPr>
        <w:t>Item 14: Client Referrals and Other Compensation</w:t>
      </w:r>
    </w:p>
    <w:p w14:paraId="35FBFBB5" w14:textId="76DB76B5" w:rsidR="00F96823" w:rsidRPr="000C66C6" w:rsidRDefault="00F96823" w:rsidP="000C66C6">
      <w:r w:rsidRPr="00362F01">
        <w:t xml:space="preserve">Seaport Financial </w:t>
      </w:r>
      <w:r w:rsidR="009575E1">
        <w:t xml:space="preserve">Education </w:t>
      </w:r>
      <w:r w:rsidRPr="00362F01">
        <w:t xml:space="preserve">LLC </w:t>
      </w:r>
      <w:r>
        <w:t>may compensate others</w:t>
      </w:r>
      <w:r w:rsidRPr="00362F01">
        <w:t xml:space="preserve"> for </w:t>
      </w:r>
      <w:r>
        <w:t xml:space="preserve">lead generation and </w:t>
      </w:r>
      <w:r w:rsidRPr="00362F01">
        <w:t xml:space="preserve">client referrals. </w:t>
      </w:r>
      <w:r>
        <w:t>Most c</w:t>
      </w:r>
      <w:r w:rsidRPr="00362F01">
        <w:t>lient relationships are established through the Firm’s marketing efforts and by advisors’ direct outreach to potential clients.</w:t>
      </w:r>
      <w:r>
        <w:t xml:space="preserve">  Occasionally, we will purchase leads or compensate others for referrals so that we can continue to expand our reach and services.  We will not accept or pay money to any individual or organization that could jeopardize our unbiased nature.</w:t>
      </w:r>
    </w:p>
    <w:p w14:paraId="6E528CFE" w14:textId="77777777" w:rsidR="000C66C6" w:rsidRPr="000C66C6" w:rsidRDefault="002F6BFF" w:rsidP="000C66C6">
      <w:r>
        <w:pict w14:anchorId="727F00C9">
          <v:rect id="_x0000_i1039" style="width:0;height:1.5pt" o:hralign="center" o:hrstd="t" o:hr="t" fillcolor="#a0a0a0" stroked="f"/>
        </w:pict>
      </w:r>
    </w:p>
    <w:p w14:paraId="6FF7D22C" w14:textId="77777777" w:rsidR="000C66C6" w:rsidRPr="000C66C6" w:rsidRDefault="000C66C6" w:rsidP="000C66C6">
      <w:r w:rsidRPr="000C66C6">
        <w:rPr>
          <w:b/>
          <w:bCs/>
        </w:rPr>
        <w:t>Item 15: Custody</w:t>
      </w:r>
    </w:p>
    <w:p w14:paraId="1146E364" w14:textId="1F209288" w:rsidR="000C66C6" w:rsidRPr="000C66C6" w:rsidRDefault="000C66C6" w:rsidP="000C66C6">
      <w:r w:rsidRPr="000C66C6">
        <w:t>Seaport Financial does not maintain custody of client assets.</w:t>
      </w:r>
      <w:r w:rsidR="00F96823">
        <w:t xml:space="preserve">  </w:t>
      </w:r>
      <w:r w:rsidR="005E4994">
        <w:t xml:space="preserve">We offer unbiased financial planning, education and guidance for a </w:t>
      </w:r>
      <w:r w:rsidR="00CE4B51">
        <w:t>flat fee</w:t>
      </w:r>
      <w:r w:rsidR="005E4994">
        <w:t>.</w:t>
      </w:r>
    </w:p>
    <w:p w14:paraId="678E1B1D" w14:textId="77777777" w:rsidR="000C66C6" w:rsidRPr="000C66C6" w:rsidRDefault="002F6BFF" w:rsidP="000C66C6">
      <w:r>
        <w:pict w14:anchorId="0D4E0992">
          <v:rect id="_x0000_i1040" style="width:0;height:1.5pt" o:hralign="center" o:hrstd="t" o:hr="t" fillcolor="#a0a0a0" stroked="f"/>
        </w:pict>
      </w:r>
    </w:p>
    <w:p w14:paraId="51B312AF" w14:textId="77777777" w:rsidR="000C66C6" w:rsidRPr="000C66C6" w:rsidRDefault="000C66C6" w:rsidP="000C66C6">
      <w:r w:rsidRPr="000C66C6">
        <w:rPr>
          <w:b/>
          <w:bCs/>
        </w:rPr>
        <w:t>Item 16: Investment Discretion</w:t>
      </w:r>
    </w:p>
    <w:p w14:paraId="5DE093AC" w14:textId="0C2E6A7E" w:rsidR="000C66C6" w:rsidRPr="000C66C6" w:rsidRDefault="000C66C6" w:rsidP="000C66C6">
      <w:r w:rsidRPr="000C66C6">
        <w:t xml:space="preserve">Seaport Financial </w:t>
      </w:r>
      <w:r w:rsidR="009575E1">
        <w:t xml:space="preserve">Education LLC </w:t>
      </w:r>
      <w:r w:rsidRPr="000C66C6">
        <w:t xml:space="preserve">is </w:t>
      </w:r>
      <w:r w:rsidR="005E4994">
        <w:t xml:space="preserve">never </w:t>
      </w:r>
      <w:r w:rsidRPr="000C66C6">
        <w:t xml:space="preserve">authorized to exercise discretionary authority </w:t>
      </w:r>
      <w:r w:rsidR="005E4994">
        <w:t>or to manage</w:t>
      </w:r>
      <w:r w:rsidRPr="000C66C6">
        <w:t xml:space="preserve"> client accounts. </w:t>
      </w:r>
      <w:r w:rsidR="005E4994">
        <w:t xml:space="preserve">We offer unbiased financial planning, education and guidance for a </w:t>
      </w:r>
      <w:r w:rsidR="00F424A8">
        <w:t>flat fee</w:t>
      </w:r>
      <w:r w:rsidR="005E4994">
        <w:t>.</w:t>
      </w:r>
    </w:p>
    <w:p w14:paraId="0B8E0DFF" w14:textId="77777777" w:rsidR="000C66C6" w:rsidRPr="000C66C6" w:rsidRDefault="002F6BFF" w:rsidP="000C66C6">
      <w:r>
        <w:pict w14:anchorId="05D1E4E8">
          <v:rect id="_x0000_i1041" style="width:0;height:1.5pt" o:hralign="center" o:hrstd="t" o:hr="t" fillcolor="#a0a0a0" stroked="f"/>
        </w:pict>
      </w:r>
    </w:p>
    <w:p w14:paraId="7007544B" w14:textId="77777777" w:rsidR="002F6BFF" w:rsidRDefault="002F6BFF" w:rsidP="000C66C6">
      <w:pPr>
        <w:rPr>
          <w:b/>
          <w:bCs/>
        </w:rPr>
      </w:pPr>
    </w:p>
    <w:p w14:paraId="63BBA150" w14:textId="0498ABE6" w:rsidR="000C66C6" w:rsidRPr="000C66C6" w:rsidRDefault="000C66C6" w:rsidP="000C66C6">
      <w:r w:rsidRPr="000C66C6">
        <w:rPr>
          <w:b/>
          <w:bCs/>
        </w:rPr>
        <w:lastRenderedPageBreak/>
        <w:t>Item 17: Voting Client Securities</w:t>
      </w:r>
    </w:p>
    <w:p w14:paraId="30286450" w14:textId="37B833F1" w:rsidR="000C66C6" w:rsidRPr="000C66C6" w:rsidRDefault="000C66C6" w:rsidP="000C66C6">
      <w:r w:rsidRPr="000C66C6">
        <w:t xml:space="preserve">Seaport Financial </w:t>
      </w:r>
      <w:r w:rsidR="009575E1">
        <w:t xml:space="preserve">Education LLC </w:t>
      </w:r>
      <w:r w:rsidRPr="000C66C6">
        <w:t xml:space="preserve">does </w:t>
      </w:r>
      <w:proofErr w:type="gramStart"/>
      <w:r w:rsidRPr="000C66C6">
        <w:t xml:space="preserve">not </w:t>
      </w:r>
      <w:r w:rsidR="00771195">
        <w:t>custody</w:t>
      </w:r>
      <w:proofErr w:type="gramEnd"/>
      <w:r w:rsidR="00771195">
        <w:t xml:space="preserve"> or manage investment, therefore we do not </w:t>
      </w:r>
      <w:r w:rsidRPr="000C66C6">
        <w:t xml:space="preserve">vote </w:t>
      </w:r>
      <w:r w:rsidR="0009019F">
        <w:t xml:space="preserve">on </w:t>
      </w:r>
      <w:r w:rsidRPr="000C66C6">
        <w:t xml:space="preserve">client securities. Clients retain the right to </w:t>
      </w:r>
      <w:proofErr w:type="gramStart"/>
      <w:r w:rsidRPr="000C66C6">
        <w:t>vote</w:t>
      </w:r>
      <w:proofErr w:type="gramEnd"/>
      <w:r w:rsidRPr="000C66C6">
        <w:t xml:space="preserve"> all securities held in their accounts.</w:t>
      </w:r>
    </w:p>
    <w:p w14:paraId="189D1A45" w14:textId="77777777" w:rsidR="000C66C6" w:rsidRPr="000C66C6" w:rsidRDefault="002F6BFF" w:rsidP="000C66C6">
      <w:r>
        <w:pict w14:anchorId="60475AF7">
          <v:rect id="_x0000_i1042" style="width:0;height:1.5pt" o:hralign="center" o:hrstd="t" o:hr="t" fillcolor="#a0a0a0" stroked="f"/>
        </w:pict>
      </w:r>
    </w:p>
    <w:p w14:paraId="5E058E4C" w14:textId="77777777" w:rsidR="000C66C6" w:rsidRPr="000C66C6" w:rsidRDefault="000C66C6" w:rsidP="000C66C6">
      <w:r w:rsidRPr="000C66C6">
        <w:rPr>
          <w:b/>
          <w:bCs/>
        </w:rPr>
        <w:t>Item 18: Financial Information</w:t>
      </w:r>
    </w:p>
    <w:p w14:paraId="1630F385" w14:textId="7957B4F3" w:rsidR="000C66C6" w:rsidRPr="000C66C6" w:rsidRDefault="000C66C6" w:rsidP="000C66C6">
      <w:r w:rsidRPr="000C66C6">
        <w:t xml:space="preserve">Seaport Financial </w:t>
      </w:r>
      <w:r w:rsidR="0009019F">
        <w:t xml:space="preserve">Education LLC </w:t>
      </w:r>
      <w:r w:rsidR="00050ACC">
        <w:t>requires</w:t>
      </w:r>
      <w:r w:rsidRPr="000C66C6">
        <w:t xml:space="preserve"> the prepayment of fees of </w:t>
      </w:r>
      <w:r w:rsidR="00D74744">
        <w:t xml:space="preserve">half of the agreed upon payment </w:t>
      </w:r>
      <w:r w:rsidRPr="000C66C6">
        <w:t xml:space="preserve">per client, </w:t>
      </w:r>
      <w:r w:rsidR="00050ACC">
        <w:t>upon signing of the client agreement</w:t>
      </w:r>
      <w:r w:rsidRPr="000C66C6">
        <w:t xml:space="preserve">. </w:t>
      </w:r>
      <w:r w:rsidR="00050ACC">
        <w:t>The other half is due prior to recei</w:t>
      </w:r>
      <w:r w:rsidR="001365B8">
        <w:t xml:space="preserve">ving our recommendations.  </w:t>
      </w:r>
      <w:r w:rsidRPr="000C66C6">
        <w:t>The Firm has no financial condition that is reasonably likely to impair its ability to meet its contractual commitments to clients</w:t>
      </w:r>
      <w:r w:rsidR="005A3917">
        <w:t>.</w:t>
      </w:r>
    </w:p>
    <w:p w14:paraId="03DF1FE0" w14:textId="77777777" w:rsidR="00AA7F7A" w:rsidRDefault="00AA7F7A"/>
    <w:p w14:paraId="7CE0DA13" w14:textId="77777777" w:rsidR="00F7468A" w:rsidRDefault="00F7468A"/>
    <w:p w14:paraId="7D801CD0" w14:textId="77777777" w:rsidR="00F7468A" w:rsidRDefault="00F7468A"/>
    <w:p w14:paraId="0750549E" w14:textId="77777777" w:rsidR="00F7468A" w:rsidRDefault="00F7468A"/>
    <w:p w14:paraId="14BB628F" w14:textId="77777777" w:rsidR="00F7468A" w:rsidRDefault="00F7468A"/>
    <w:p w14:paraId="470AD1EE" w14:textId="43E8D51C" w:rsidR="00F7468A" w:rsidRPr="007B17DA" w:rsidRDefault="007B17DA">
      <w:pPr>
        <w:rPr>
          <w:sz w:val="52"/>
          <w:szCs w:val="52"/>
        </w:rPr>
      </w:pPr>
      <w:r>
        <w:rPr>
          <w:sz w:val="52"/>
          <w:szCs w:val="52"/>
        </w:rPr>
        <w:t xml:space="preserve">THIS </w:t>
      </w:r>
      <w:r w:rsidR="00F424A8">
        <w:rPr>
          <w:sz w:val="52"/>
          <w:szCs w:val="52"/>
        </w:rPr>
        <w:t>SECTION</w:t>
      </w:r>
      <w:r>
        <w:rPr>
          <w:sz w:val="52"/>
          <w:szCs w:val="52"/>
        </w:rPr>
        <w:t xml:space="preserve"> INTENTIONALLY LEFT BLANK</w:t>
      </w:r>
    </w:p>
    <w:sectPr w:rsidR="00F7468A" w:rsidRPr="007B17D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AB3E6" w14:textId="77777777" w:rsidR="004B7C3D" w:rsidRDefault="004B7C3D" w:rsidP="00F7468A">
      <w:pPr>
        <w:spacing w:after="0" w:line="240" w:lineRule="auto"/>
      </w:pPr>
      <w:r>
        <w:separator/>
      </w:r>
    </w:p>
  </w:endnote>
  <w:endnote w:type="continuationSeparator" w:id="0">
    <w:p w14:paraId="2B5533FB" w14:textId="77777777" w:rsidR="004B7C3D" w:rsidRDefault="004B7C3D" w:rsidP="00F74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68617"/>
      <w:docPartObj>
        <w:docPartGallery w:val="Page Numbers (Bottom of Page)"/>
        <w:docPartUnique/>
      </w:docPartObj>
    </w:sdtPr>
    <w:sdtEndPr>
      <w:rPr>
        <w:color w:val="7F7F7F" w:themeColor="background1" w:themeShade="7F"/>
        <w:spacing w:val="60"/>
      </w:rPr>
    </w:sdtEndPr>
    <w:sdtContent>
      <w:p w14:paraId="12C065F9" w14:textId="74F32A4B" w:rsidR="00F7468A" w:rsidRDefault="00F7468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C75D639" w14:textId="77777777" w:rsidR="00F7468A" w:rsidRDefault="00F74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207BE" w14:textId="77777777" w:rsidR="004B7C3D" w:rsidRDefault="004B7C3D" w:rsidP="00F7468A">
      <w:pPr>
        <w:spacing w:after="0" w:line="240" w:lineRule="auto"/>
      </w:pPr>
      <w:r>
        <w:separator/>
      </w:r>
    </w:p>
  </w:footnote>
  <w:footnote w:type="continuationSeparator" w:id="0">
    <w:p w14:paraId="52918DCB" w14:textId="77777777" w:rsidR="004B7C3D" w:rsidRDefault="004B7C3D" w:rsidP="00F74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2A4B"/>
    <w:multiLevelType w:val="multilevel"/>
    <w:tmpl w:val="8B06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F297E"/>
    <w:multiLevelType w:val="multilevel"/>
    <w:tmpl w:val="0E92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92E8A"/>
    <w:multiLevelType w:val="multilevel"/>
    <w:tmpl w:val="5502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07FEC"/>
    <w:multiLevelType w:val="multilevel"/>
    <w:tmpl w:val="8BD8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A1022"/>
    <w:multiLevelType w:val="multilevel"/>
    <w:tmpl w:val="1A5A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92470"/>
    <w:multiLevelType w:val="multilevel"/>
    <w:tmpl w:val="3E28F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634E8"/>
    <w:multiLevelType w:val="multilevel"/>
    <w:tmpl w:val="CBE49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E6A00"/>
    <w:multiLevelType w:val="multilevel"/>
    <w:tmpl w:val="A95C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3452F"/>
    <w:multiLevelType w:val="hybridMultilevel"/>
    <w:tmpl w:val="B26E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F1ED1"/>
    <w:multiLevelType w:val="multilevel"/>
    <w:tmpl w:val="DF2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D3DB8"/>
    <w:multiLevelType w:val="multilevel"/>
    <w:tmpl w:val="E64A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A45F1"/>
    <w:multiLevelType w:val="multilevel"/>
    <w:tmpl w:val="BF28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230207">
    <w:abstractNumId w:val="2"/>
  </w:num>
  <w:num w:numId="2" w16cid:durableId="1324310255">
    <w:abstractNumId w:val="7"/>
  </w:num>
  <w:num w:numId="3" w16cid:durableId="689380954">
    <w:abstractNumId w:val="5"/>
  </w:num>
  <w:num w:numId="4" w16cid:durableId="512652721">
    <w:abstractNumId w:val="3"/>
  </w:num>
  <w:num w:numId="5" w16cid:durableId="1520855545">
    <w:abstractNumId w:val="10"/>
  </w:num>
  <w:num w:numId="6" w16cid:durableId="392044126">
    <w:abstractNumId w:val="6"/>
  </w:num>
  <w:num w:numId="7" w16cid:durableId="2114783725">
    <w:abstractNumId w:val="4"/>
  </w:num>
  <w:num w:numId="8" w16cid:durableId="1429614418">
    <w:abstractNumId w:val="11"/>
  </w:num>
  <w:num w:numId="9" w16cid:durableId="1772630794">
    <w:abstractNumId w:val="0"/>
  </w:num>
  <w:num w:numId="10" w16cid:durableId="669214693">
    <w:abstractNumId w:val="9"/>
  </w:num>
  <w:num w:numId="11" w16cid:durableId="1062826966">
    <w:abstractNumId w:val="1"/>
  </w:num>
  <w:num w:numId="12" w16cid:durableId="1154569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C6"/>
    <w:rsid w:val="00021344"/>
    <w:rsid w:val="00027461"/>
    <w:rsid w:val="00031A03"/>
    <w:rsid w:val="00050ACC"/>
    <w:rsid w:val="000517E8"/>
    <w:rsid w:val="00055BC5"/>
    <w:rsid w:val="00063CED"/>
    <w:rsid w:val="00071719"/>
    <w:rsid w:val="00084E22"/>
    <w:rsid w:val="0009019F"/>
    <w:rsid w:val="00095593"/>
    <w:rsid w:val="000A0042"/>
    <w:rsid w:val="000C66C6"/>
    <w:rsid w:val="000D084A"/>
    <w:rsid w:val="000E2A6D"/>
    <w:rsid w:val="001347C9"/>
    <w:rsid w:val="001365B8"/>
    <w:rsid w:val="001428B0"/>
    <w:rsid w:val="001479EB"/>
    <w:rsid w:val="0016437F"/>
    <w:rsid w:val="001B7ABC"/>
    <w:rsid w:val="001C1146"/>
    <w:rsid w:val="001C1F5C"/>
    <w:rsid w:val="001C4CBD"/>
    <w:rsid w:val="001D3BEA"/>
    <w:rsid w:val="001D6115"/>
    <w:rsid w:val="001E1E00"/>
    <w:rsid w:val="001F6ED8"/>
    <w:rsid w:val="001F7CA7"/>
    <w:rsid w:val="002015BD"/>
    <w:rsid w:val="00201D14"/>
    <w:rsid w:val="00205A32"/>
    <w:rsid w:val="0021211B"/>
    <w:rsid w:val="00264B84"/>
    <w:rsid w:val="00265CB5"/>
    <w:rsid w:val="00274057"/>
    <w:rsid w:val="00294520"/>
    <w:rsid w:val="00296218"/>
    <w:rsid w:val="002A7242"/>
    <w:rsid w:val="002B798A"/>
    <w:rsid w:val="002E74ED"/>
    <w:rsid w:val="002F543C"/>
    <w:rsid w:val="002F6BFF"/>
    <w:rsid w:val="0030065F"/>
    <w:rsid w:val="00321D4E"/>
    <w:rsid w:val="003425E2"/>
    <w:rsid w:val="0036729E"/>
    <w:rsid w:val="00370BAE"/>
    <w:rsid w:val="00387E83"/>
    <w:rsid w:val="003D1BAC"/>
    <w:rsid w:val="003F24CF"/>
    <w:rsid w:val="003F4D27"/>
    <w:rsid w:val="003F6176"/>
    <w:rsid w:val="004006BE"/>
    <w:rsid w:val="0041057B"/>
    <w:rsid w:val="00455AEA"/>
    <w:rsid w:val="00470E95"/>
    <w:rsid w:val="004730D1"/>
    <w:rsid w:val="004804E1"/>
    <w:rsid w:val="0048153F"/>
    <w:rsid w:val="004830BD"/>
    <w:rsid w:val="00483A4C"/>
    <w:rsid w:val="004B7C3D"/>
    <w:rsid w:val="004C3476"/>
    <w:rsid w:val="004C613E"/>
    <w:rsid w:val="004D658D"/>
    <w:rsid w:val="005042DD"/>
    <w:rsid w:val="00505039"/>
    <w:rsid w:val="00514AD9"/>
    <w:rsid w:val="00522D57"/>
    <w:rsid w:val="00554AA0"/>
    <w:rsid w:val="00562C3F"/>
    <w:rsid w:val="00576945"/>
    <w:rsid w:val="005827B2"/>
    <w:rsid w:val="005A3917"/>
    <w:rsid w:val="005D1A33"/>
    <w:rsid w:val="005E0FDC"/>
    <w:rsid w:val="005E4994"/>
    <w:rsid w:val="00601001"/>
    <w:rsid w:val="0061023E"/>
    <w:rsid w:val="0062245C"/>
    <w:rsid w:val="006241A7"/>
    <w:rsid w:val="006278E1"/>
    <w:rsid w:val="0065139E"/>
    <w:rsid w:val="00654211"/>
    <w:rsid w:val="0066304B"/>
    <w:rsid w:val="00684F64"/>
    <w:rsid w:val="00690879"/>
    <w:rsid w:val="006936A4"/>
    <w:rsid w:val="00697D5D"/>
    <w:rsid w:val="006A502D"/>
    <w:rsid w:val="006B64CE"/>
    <w:rsid w:val="006F14A9"/>
    <w:rsid w:val="006F2555"/>
    <w:rsid w:val="006F7F07"/>
    <w:rsid w:val="007041E0"/>
    <w:rsid w:val="007128ED"/>
    <w:rsid w:val="00741163"/>
    <w:rsid w:val="007611C6"/>
    <w:rsid w:val="00771195"/>
    <w:rsid w:val="00781074"/>
    <w:rsid w:val="00791F35"/>
    <w:rsid w:val="00792FE7"/>
    <w:rsid w:val="0079381F"/>
    <w:rsid w:val="007B17DA"/>
    <w:rsid w:val="007D2A9A"/>
    <w:rsid w:val="007D4115"/>
    <w:rsid w:val="007E0290"/>
    <w:rsid w:val="007F788B"/>
    <w:rsid w:val="0081686B"/>
    <w:rsid w:val="00816F5D"/>
    <w:rsid w:val="00851541"/>
    <w:rsid w:val="00870F95"/>
    <w:rsid w:val="008803CE"/>
    <w:rsid w:val="00886152"/>
    <w:rsid w:val="00897FA4"/>
    <w:rsid w:val="008A086D"/>
    <w:rsid w:val="008A4300"/>
    <w:rsid w:val="008B2B36"/>
    <w:rsid w:val="008C41FE"/>
    <w:rsid w:val="0090666A"/>
    <w:rsid w:val="00910E1E"/>
    <w:rsid w:val="00911878"/>
    <w:rsid w:val="0095308C"/>
    <w:rsid w:val="009575E1"/>
    <w:rsid w:val="009B4C1C"/>
    <w:rsid w:val="009D7014"/>
    <w:rsid w:val="009F70F6"/>
    <w:rsid w:val="00A07685"/>
    <w:rsid w:val="00A218F7"/>
    <w:rsid w:val="00A266C0"/>
    <w:rsid w:val="00A33D07"/>
    <w:rsid w:val="00A364E1"/>
    <w:rsid w:val="00A41EA9"/>
    <w:rsid w:val="00A4456F"/>
    <w:rsid w:val="00A52FE8"/>
    <w:rsid w:val="00A57AE5"/>
    <w:rsid w:val="00A70182"/>
    <w:rsid w:val="00A734C6"/>
    <w:rsid w:val="00A75631"/>
    <w:rsid w:val="00AA362D"/>
    <w:rsid w:val="00AA578B"/>
    <w:rsid w:val="00AA5E4C"/>
    <w:rsid w:val="00AA7F7A"/>
    <w:rsid w:val="00AC4697"/>
    <w:rsid w:val="00AF3DEB"/>
    <w:rsid w:val="00AF4B48"/>
    <w:rsid w:val="00B0621E"/>
    <w:rsid w:val="00B120D3"/>
    <w:rsid w:val="00B232EE"/>
    <w:rsid w:val="00B370D1"/>
    <w:rsid w:val="00B375B5"/>
    <w:rsid w:val="00B47021"/>
    <w:rsid w:val="00B50382"/>
    <w:rsid w:val="00B70939"/>
    <w:rsid w:val="00B8441C"/>
    <w:rsid w:val="00B95151"/>
    <w:rsid w:val="00BA1ED1"/>
    <w:rsid w:val="00BB63A3"/>
    <w:rsid w:val="00BC42C3"/>
    <w:rsid w:val="00BD5C5F"/>
    <w:rsid w:val="00C237AA"/>
    <w:rsid w:val="00C53EA5"/>
    <w:rsid w:val="00C55C10"/>
    <w:rsid w:val="00C67319"/>
    <w:rsid w:val="00C84690"/>
    <w:rsid w:val="00C8692E"/>
    <w:rsid w:val="00C87580"/>
    <w:rsid w:val="00CE3124"/>
    <w:rsid w:val="00CE4B51"/>
    <w:rsid w:val="00CF26B5"/>
    <w:rsid w:val="00D14196"/>
    <w:rsid w:val="00D14F4A"/>
    <w:rsid w:val="00D32C25"/>
    <w:rsid w:val="00D61FC6"/>
    <w:rsid w:val="00D74744"/>
    <w:rsid w:val="00D76D4B"/>
    <w:rsid w:val="00D84B8A"/>
    <w:rsid w:val="00DC19BE"/>
    <w:rsid w:val="00E110B9"/>
    <w:rsid w:val="00E111B8"/>
    <w:rsid w:val="00E44A41"/>
    <w:rsid w:val="00E51E4C"/>
    <w:rsid w:val="00E83B39"/>
    <w:rsid w:val="00E96FCB"/>
    <w:rsid w:val="00EA171E"/>
    <w:rsid w:val="00EA1E37"/>
    <w:rsid w:val="00EA3449"/>
    <w:rsid w:val="00EA3D33"/>
    <w:rsid w:val="00EC6482"/>
    <w:rsid w:val="00ED55F6"/>
    <w:rsid w:val="00EF6543"/>
    <w:rsid w:val="00F058F7"/>
    <w:rsid w:val="00F06049"/>
    <w:rsid w:val="00F0686A"/>
    <w:rsid w:val="00F1025F"/>
    <w:rsid w:val="00F12ED8"/>
    <w:rsid w:val="00F34D84"/>
    <w:rsid w:val="00F35036"/>
    <w:rsid w:val="00F37681"/>
    <w:rsid w:val="00F40613"/>
    <w:rsid w:val="00F424A8"/>
    <w:rsid w:val="00F45C82"/>
    <w:rsid w:val="00F61EAC"/>
    <w:rsid w:val="00F73CB8"/>
    <w:rsid w:val="00F7468A"/>
    <w:rsid w:val="00F93AE3"/>
    <w:rsid w:val="00F96823"/>
    <w:rsid w:val="00F97562"/>
    <w:rsid w:val="00F979A4"/>
    <w:rsid w:val="00FA0F88"/>
    <w:rsid w:val="00FB6261"/>
    <w:rsid w:val="00FB6974"/>
    <w:rsid w:val="00FE0A33"/>
    <w:rsid w:val="00FE3979"/>
    <w:rsid w:val="00FF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3C094F75"/>
  <w15:chartTrackingRefBased/>
  <w15:docId w15:val="{B50CFB5E-31C0-4E80-A3CC-36164783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6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6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6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6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6C6"/>
    <w:rPr>
      <w:rFonts w:eastAsiaTheme="majorEastAsia" w:cstheme="majorBidi"/>
      <w:color w:val="272727" w:themeColor="text1" w:themeTint="D8"/>
    </w:rPr>
  </w:style>
  <w:style w:type="paragraph" w:styleId="Title">
    <w:name w:val="Title"/>
    <w:basedOn w:val="Normal"/>
    <w:next w:val="Normal"/>
    <w:link w:val="TitleChar"/>
    <w:uiPriority w:val="10"/>
    <w:qFormat/>
    <w:rsid w:val="000C6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6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6C6"/>
    <w:pPr>
      <w:spacing w:before="160"/>
      <w:jc w:val="center"/>
    </w:pPr>
    <w:rPr>
      <w:i/>
      <w:iCs/>
      <w:color w:val="404040" w:themeColor="text1" w:themeTint="BF"/>
    </w:rPr>
  </w:style>
  <w:style w:type="character" w:customStyle="1" w:styleId="QuoteChar">
    <w:name w:val="Quote Char"/>
    <w:basedOn w:val="DefaultParagraphFont"/>
    <w:link w:val="Quote"/>
    <w:uiPriority w:val="29"/>
    <w:rsid w:val="000C66C6"/>
    <w:rPr>
      <w:i/>
      <w:iCs/>
      <w:color w:val="404040" w:themeColor="text1" w:themeTint="BF"/>
    </w:rPr>
  </w:style>
  <w:style w:type="paragraph" w:styleId="ListParagraph">
    <w:name w:val="List Paragraph"/>
    <w:basedOn w:val="Normal"/>
    <w:uiPriority w:val="34"/>
    <w:qFormat/>
    <w:rsid w:val="000C66C6"/>
    <w:pPr>
      <w:ind w:left="720"/>
      <w:contextualSpacing/>
    </w:pPr>
  </w:style>
  <w:style w:type="character" w:styleId="IntenseEmphasis">
    <w:name w:val="Intense Emphasis"/>
    <w:basedOn w:val="DefaultParagraphFont"/>
    <w:uiPriority w:val="21"/>
    <w:qFormat/>
    <w:rsid w:val="000C66C6"/>
    <w:rPr>
      <w:i/>
      <w:iCs/>
      <w:color w:val="0F4761" w:themeColor="accent1" w:themeShade="BF"/>
    </w:rPr>
  </w:style>
  <w:style w:type="paragraph" w:styleId="IntenseQuote">
    <w:name w:val="Intense Quote"/>
    <w:basedOn w:val="Normal"/>
    <w:next w:val="Normal"/>
    <w:link w:val="IntenseQuoteChar"/>
    <w:uiPriority w:val="30"/>
    <w:qFormat/>
    <w:rsid w:val="000C6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6C6"/>
    <w:rPr>
      <w:i/>
      <w:iCs/>
      <w:color w:val="0F4761" w:themeColor="accent1" w:themeShade="BF"/>
    </w:rPr>
  </w:style>
  <w:style w:type="character" w:styleId="IntenseReference">
    <w:name w:val="Intense Reference"/>
    <w:basedOn w:val="DefaultParagraphFont"/>
    <w:uiPriority w:val="32"/>
    <w:qFormat/>
    <w:rsid w:val="000C66C6"/>
    <w:rPr>
      <w:b/>
      <w:bCs/>
      <w:smallCaps/>
      <w:color w:val="0F4761" w:themeColor="accent1" w:themeShade="BF"/>
      <w:spacing w:val="5"/>
    </w:rPr>
  </w:style>
  <w:style w:type="character" w:styleId="Hyperlink">
    <w:name w:val="Hyperlink"/>
    <w:basedOn w:val="DefaultParagraphFont"/>
    <w:uiPriority w:val="99"/>
    <w:unhideWhenUsed/>
    <w:rsid w:val="00021344"/>
    <w:rPr>
      <w:color w:val="467886" w:themeColor="hyperlink"/>
      <w:u w:val="single"/>
    </w:rPr>
  </w:style>
  <w:style w:type="character" w:styleId="UnresolvedMention">
    <w:name w:val="Unresolved Mention"/>
    <w:basedOn w:val="DefaultParagraphFont"/>
    <w:uiPriority w:val="99"/>
    <w:semiHidden/>
    <w:unhideWhenUsed/>
    <w:rsid w:val="00021344"/>
    <w:rPr>
      <w:color w:val="605E5C"/>
      <w:shd w:val="clear" w:color="auto" w:fill="E1DFDD"/>
    </w:rPr>
  </w:style>
  <w:style w:type="paragraph" w:styleId="Header">
    <w:name w:val="header"/>
    <w:basedOn w:val="Normal"/>
    <w:link w:val="HeaderChar"/>
    <w:uiPriority w:val="99"/>
    <w:unhideWhenUsed/>
    <w:rsid w:val="00F74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68A"/>
  </w:style>
  <w:style w:type="paragraph" w:styleId="Footer">
    <w:name w:val="footer"/>
    <w:basedOn w:val="Normal"/>
    <w:link w:val="FooterChar"/>
    <w:uiPriority w:val="99"/>
    <w:unhideWhenUsed/>
    <w:rsid w:val="00F74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30199">
      <w:bodyDiv w:val="1"/>
      <w:marLeft w:val="0"/>
      <w:marRight w:val="0"/>
      <w:marTop w:val="0"/>
      <w:marBottom w:val="0"/>
      <w:divBdr>
        <w:top w:val="none" w:sz="0" w:space="0" w:color="auto"/>
        <w:left w:val="none" w:sz="0" w:space="0" w:color="auto"/>
        <w:bottom w:val="none" w:sz="0" w:space="0" w:color="auto"/>
        <w:right w:val="none" w:sz="0" w:space="0" w:color="auto"/>
      </w:divBdr>
    </w:div>
    <w:div w:id="805969992">
      <w:bodyDiv w:val="1"/>
      <w:marLeft w:val="0"/>
      <w:marRight w:val="0"/>
      <w:marTop w:val="0"/>
      <w:marBottom w:val="0"/>
      <w:divBdr>
        <w:top w:val="none" w:sz="0" w:space="0" w:color="auto"/>
        <w:left w:val="none" w:sz="0" w:space="0" w:color="auto"/>
        <w:bottom w:val="none" w:sz="0" w:space="0" w:color="auto"/>
        <w:right w:val="none" w:sz="0" w:space="0" w:color="auto"/>
      </w:divBdr>
    </w:div>
    <w:div w:id="1667704902">
      <w:bodyDiv w:val="1"/>
      <w:marLeft w:val="0"/>
      <w:marRight w:val="0"/>
      <w:marTop w:val="0"/>
      <w:marBottom w:val="0"/>
      <w:divBdr>
        <w:top w:val="none" w:sz="0" w:space="0" w:color="auto"/>
        <w:left w:val="none" w:sz="0" w:space="0" w:color="auto"/>
        <w:bottom w:val="none" w:sz="0" w:space="0" w:color="auto"/>
        <w:right w:val="none" w:sz="0" w:space="0" w:color="auto"/>
      </w:divBdr>
    </w:div>
    <w:div w:id="19366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ortFinancialE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0%20williamjdwyeriii@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Dwyer</dc:creator>
  <cp:keywords/>
  <dc:description/>
  <cp:lastModifiedBy>William Dwyer</cp:lastModifiedBy>
  <cp:revision>18</cp:revision>
  <dcterms:created xsi:type="dcterms:W3CDTF">2025-07-30T17:48:00Z</dcterms:created>
  <dcterms:modified xsi:type="dcterms:W3CDTF">2025-08-14T17:21:00Z</dcterms:modified>
</cp:coreProperties>
</file>