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8DF6" w14:textId="77777777" w:rsidR="00E32838" w:rsidRPr="00E20C14" w:rsidRDefault="00000000">
      <w:pPr>
        <w:pStyle w:val="Heading1"/>
        <w:rPr>
          <w:rFonts w:ascii="Basel Classic" w:hAnsi="Basel Classic"/>
          <w:color w:val="4A442A" w:themeColor="background2" w:themeShade="40"/>
        </w:rPr>
      </w:pPr>
      <w:r w:rsidRPr="00E20C14">
        <w:rPr>
          <w:rFonts w:ascii="Basel Classic" w:hAnsi="Basel Classic"/>
          <w:color w:val="4A442A" w:themeColor="background2" w:themeShade="40"/>
        </w:rPr>
        <w:t>Whistleblower Protections – EU and UK Legal Frameworks</w:t>
      </w:r>
    </w:p>
    <w:p w14:paraId="6E85C858" w14:textId="77777777" w:rsidR="00E32838" w:rsidRPr="00E20C14" w:rsidRDefault="00000000">
      <w:pPr>
        <w:rPr>
          <w:rFonts w:ascii="Basel Classic" w:hAnsi="Basel Classic"/>
        </w:rPr>
      </w:pPr>
      <w:r w:rsidRPr="00E20C14">
        <w:rPr>
          <w:rFonts w:ascii="Basel Classic" w:hAnsi="Basel Classic"/>
        </w:rPr>
        <w:t>Below is a reference table of core legal protections available to whistleblowers across the EU and UK. These include foundational directives, employment protections, and regulator-specific guidelines.</w:t>
      </w:r>
    </w:p>
    <w:tbl>
      <w:tblPr>
        <w:tblStyle w:val="TableGrid"/>
        <w:tblW w:w="11483" w:type="dxa"/>
        <w:tblInd w:w="-1310" w:type="dxa"/>
        <w:tblLayout w:type="fixed"/>
        <w:tblLook w:val="04A0" w:firstRow="1" w:lastRow="0" w:firstColumn="1" w:lastColumn="0" w:noHBand="0" w:noVBand="1"/>
      </w:tblPr>
      <w:tblGrid>
        <w:gridCol w:w="1431"/>
        <w:gridCol w:w="1972"/>
        <w:gridCol w:w="3260"/>
        <w:gridCol w:w="4820"/>
      </w:tblGrid>
      <w:tr w:rsidR="00E20C14" w:rsidRPr="00E20C14" w14:paraId="56DDD840" w14:textId="77777777" w:rsidTr="00E20C14">
        <w:tc>
          <w:tcPr>
            <w:tcW w:w="1431" w:type="dxa"/>
          </w:tcPr>
          <w:p w14:paraId="1D63B7BB" w14:textId="77777777" w:rsidR="00E32838" w:rsidRPr="00E20C14" w:rsidRDefault="00000000">
            <w:pPr>
              <w:rPr>
                <w:rFonts w:ascii="Basel Classic" w:hAnsi="Basel Classic"/>
                <w:b/>
                <w:bCs/>
              </w:rPr>
            </w:pPr>
            <w:r w:rsidRPr="00E20C14">
              <w:rPr>
                <w:rFonts w:ascii="Basel Classic" w:hAnsi="Basel Classic"/>
                <w:b/>
                <w:bCs/>
              </w:rPr>
              <w:t>Jurisdiction</w:t>
            </w:r>
          </w:p>
        </w:tc>
        <w:tc>
          <w:tcPr>
            <w:tcW w:w="1972" w:type="dxa"/>
          </w:tcPr>
          <w:p w14:paraId="158C39CF" w14:textId="77777777" w:rsidR="00E32838" w:rsidRPr="00E20C14" w:rsidRDefault="00000000">
            <w:pPr>
              <w:rPr>
                <w:rFonts w:ascii="Basel Classic" w:hAnsi="Basel Classic"/>
                <w:b/>
                <w:bCs/>
              </w:rPr>
            </w:pPr>
            <w:r w:rsidRPr="00E20C14">
              <w:rPr>
                <w:rFonts w:ascii="Basel Classic" w:hAnsi="Basel Classic"/>
                <w:b/>
                <w:bCs/>
              </w:rPr>
              <w:t>Legal Instrument</w:t>
            </w:r>
          </w:p>
        </w:tc>
        <w:tc>
          <w:tcPr>
            <w:tcW w:w="3260" w:type="dxa"/>
          </w:tcPr>
          <w:p w14:paraId="3F926881" w14:textId="77777777" w:rsidR="00E32838" w:rsidRPr="00E20C14" w:rsidRDefault="00000000">
            <w:pPr>
              <w:rPr>
                <w:rFonts w:ascii="Basel Classic" w:hAnsi="Basel Classic"/>
                <w:b/>
                <w:bCs/>
              </w:rPr>
            </w:pPr>
            <w:r w:rsidRPr="00E20C14">
              <w:rPr>
                <w:rFonts w:ascii="Basel Classic" w:hAnsi="Basel Classic"/>
                <w:b/>
                <w:bCs/>
              </w:rPr>
              <w:t>Description</w:t>
            </w:r>
          </w:p>
        </w:tc>
        <w:tc>
          <w:tcPr>
            <w:tcW w:w="4820" w:type="dxa"/>
          </w:tcPr>
          <w:p w14:paraId="6EC00071" w14:textId="77777777" w:rsidR="00E32838" w:rsidRPr="00E20C14" w:rsidRDefault="00000000">
            <w:pPr>
              <w:rPr>
                <w:rFonts w:ascii="Basel Classic" w:hAnsi="Basel Classic"/>
                <w:b/>
                <w:bCs/>
              </w:rPr>
            </w:pPr>
            <w:r w:rsidRPr="00E20C14">
              <w:rPr>
                <w:rFonts w:ascii="Basel Classic" w:hAnsi="Basel Classic"/>
                <w:b/>
                <w:bCs/>
              </w:rPr>
              <w:t>Official Link</w:t>
            </w:r>
          </w:p>
        </w:tc>
      </w:tr>
      <w:tr w:rsidR="00E20C14" w:rsidRPr="00E20C14" w14:paraId="1114D3C7" w14:textId="77777777" w:rsidTr="00E20C14">
        <w:tc>
          <w:tcPr>
            <w:tcW w:w="1431" w:type="dxa"/>
          </w:tcPr>
          <w:p w14:paraId="17BDE9FE" w14:textId="77777777" w:rsidR="00E32838" w:rsidRPr="00E20C14" w:rsidRDefault="00000000">
            <w:pPr>
              <w:rPr>
                <w:rFonts w:ascii="Basel Classic" w:hAnsi="Basel Classic"/>
              </w:rPr>
            </w:pPr>
            <w:r w:rsidRPr="00E20C14">
              <w:rPr>
                <w:rFonts w:ascii="Basel Classic" w:hAnsi="Basel Classic"/>
              </w:rPr>
              <w:t>EU</w:t>
            </w:r>
          </w:p>
        </w:tc>
        <w:tc>
          <w:tcPr>
            <w:tcW w:w="1972" w:type="dxa"/>
          </w:tcPr>
          <w:p w14:paraId="6BC66779" w14:textId="77777777" w:rsidR="00E32838" w:rsidRPr="00E20C14" w:rsidRDefault="00000000">
            <w:pPr>
              <w:rPr>
                <w:rFonts w:ascii="Basel Classic" w:hAnsi="Basel Classic"/>
              </w:rPr>
            </w:pPr>
            <w:r w:rsidRPr="00E20C14">
              <w:rPr>
                <w:rFonts w:ascii="Basel Classic" w:hAnsi="Basel Classic"/>
              </w:rPr>
              <w:t>Directive (EU) 2019/1937</w:t>
            </w:r>
          </w:p>
        </w:tc>
        <w:tc>
          <w:tcPr>
            <w:tcW w:w="3260" w:type="dxa"/>
          </w:tcPr>
          <w:p w14:paraId="357C819F" w14:textId="77777777" w:rsidR="00E32838" w:rsidRPr="00E20C14" w:rsidRDefault="00000000">
            <w:pPr>
              <w:rPr>
                <w:rFonts w:ascii="Basel Classic" w:hAnsi="Basel Classic"/>
              </w:rPr>
            </w:pPr>
            <w:r w:rsidRPr="00E20C14">
              <w:rPr>
                <w:rFonts w:ascii="Basel Classic" w:hAnsi="Basel Classic"/>
              </w:rPr>
              <w:t>Whistleblower Protection Directive: Requires all member states to implement legal frameworks to protect whistleblowers reporting breaches of EU law.</w:t>
            </w:r>
          </w:p>
        </w:tc>
        <w:tc>
          <w:tcPr>
            <w:tcW w:w="4820" w:type="dxa"/>
          </w:tcPr>
          <w:p w14:paraId="04858390" w14:textId="77777777" w:rsidR="00E32838" w:rsidRPr="00E20C14" w:rsidRDefault="00000000">
            <w:pPr>
              <w:rPr>
                <w:rFonts w:ascii="Basel Classic" w:hAnsi="Basel Classic"/>
              </w:rPr>
            </w:pPr>
            <w:r w:rsidRPr="00E20C14">
              <w:rPr>
                <w:rFonts w:ascii="Basel Classic" w:hAnsi="Basel Classic"/>
              </w:rPr>
              <w:t>https://eur-lex.europa.eu/legal-content/EN/TXT/?uri=CELEX:32019L1937</w:t>
            </w:r>
          </w:p>
        </w:tc>
      </w:tr>
      <w:tr w:rsidR="00E20C14" w:rsidRPr="00E20C14" w14:paraId="25E102A3" w14:textId="77777777" w:rsidTr="00E20C14">
        <w:tc>
          <w:tcPr>
            <w:tcW w:w="1431" w:type="dxa"/>
          </w:tcPr>
          <w:p w14:paraId="670D3010" w14:textId="77777777" w:rsidR="00E32838" w:rsidRPr="00E20C14" w:rsidRDefault="00000000">
            <w:pPr>
              <w:rPr>
                <w:rFonts w:ascii="Basel Classic" w:hAnsi="Basel Classic"/>
              </w:rPr>
            </w:pPr>
            <w:r w:rsidRPr="00E20C14">
              <w:rPr>
                <w:rFonts w:ascii="Basel Classic" w:hAnsi="Basel Classic"/>
              </w:rPr>
              <w:t>EU</w:t>
            </w:r>
          </w:p>
        </w:tc>
        <w:tc>
          <w:tcPr>
            <w:tcW w:w="1972" w:type="dxa"/>
          </w:tcPr>
          <w:p w14:paraId="7FF9CD8B" w14:textId="77777777" w:rsidR="00E32838" w:rsidRPr="00E20C14" w:rsidRDefault="00000000">
            <w:pPr>
              <w:rPr>
                <w:rFonts w:ascii="Basel Classic" w:hAnsi="Basel Classic"/>
              </w:rPr>
            </w:pPr>
            <w:r w:rsidRPr="00E20C14">
              <w:rPr>
                <w:rFonts w:ascii="Basel Classic" w:hAnsi="Basel Classic"/>
              </w:rPr>
              <w:t>AMLD5 (Directive 2018/843)</w:t>
            </w:r>
          </w:p>
        </w:tc>
        <w:tc>
          <w:tcPr>
            <w:tcW w:w="3260" w:type="dxa"/>
          </w:tcPr>
          <w:p w14:paraId="2D4F57BE" w14:textId="77777777" w:rsidR="00E32838" w:rsidRPr="00E20C14" w:rsidRDefault="00000000">
            <w:pPr>
              <w:rPr>
                <w:rFonts w:ascii="Basel Classic" w:hAnsi="Basel Classic"/>
              </w:rPr>
            </w:pPr>
            <w:r w:rsidRPr="00E20C14">
              <w:rPr>
                <w:rFonts w:ascii="Basel Classic" w:hAnsi="Basel Classic"/>
              </w:rPr>
              <w:t>Mandates whistleblowing channels in financial institutions for reporting money laundering and terrorist financing.</w:t>
            </w:r>
          </w:p>
        </w:tc>
        <w:tc>
          <w:tcPr>
            <w:tcW w:w="4820" w:type="dxa"/>
          </w:tcPr>
          <w:p w14:paraId="57E5CC71" w14:textId="77777777" w:rsidR="00E32838" w:rsidRPr="00E20C14" w:rsidRDefault="00000000">
            <w:pPr>
              <w:rPr>
                <w:rFonts w:ascii="Basel Classic" w:hAnsi="Basel Classic"/>
              </w:rPr>
            </w:pPr>
            <w:r w:rsidRPr="00E20C14">
              <w:rPr>
                <w:rFonts w:ascii="Basel Classic" w:hAnsi="Basel Classic"/>
              </w:rPr>
              <w:t>https://eur-lex.europa.eu/legal-content/EN/TXT/?uri=CELEX:32018L0843</w:t>
            </w:r>
          </w:p>
        </w:tc>
      </w:tr>
      <w:tr w:rsidR="00E20C14" w:rsidRPr="00E20C14" w14:paraId="54350DF0" w14:textId="77777777" w:rsidTr="00E20C14">
        <w:tc>
          <w:tcPr>
            <w:tcW w:w="1431" w:type="dxa"/>
          </w:tcPr>
          <w:p w14:paraId="442EFD28" w14:textId="77777777" w:rsidR="00E32838" w:rsidRPr="00E20C14" w:rsidRDefault="00000000">
            <w:pPr>
              <w:rPr>
                <w:rFonts w:ascii="Basel Classic" w:hAnsi="Basel Classic"/>
              </w:rPr>
            </w:pPr>
            <w:r w:rsidRPr="00E20C14">
              <w:rPr>
                <w:rFonts w:ascii="Basel Classic" w:hAnsi="Basel Classic"/>
              </w:rPr>
              <w:t>UK</w:t>
            </w:r>
          </w:p>
        </w:tc>
        <w:tc>
          <w:tcPr>
            <w:tcW w:w="1972" w:type="dxa"/>
          </w:tcPr>
          <w:p w14:paraId="59B2CE7B" w14:textId="77777777" w:rsidR="00E32838" w:rsidRPr="00E20C14" w:rsidRDefault="00000000">
            <w:pPr>
              <w:rPr>
                <w:rFonts w:ascii="Basel Classic" w:hAnsi="Basel Classic"/>
              </w:rPr>
            </w:pPr>
            <w:r w:rsidRPr="00E20C14">
              <w:rPr>
                <w:rFonts w:ascii="Basel Classic" w:hAnsi="Basel Classic"/>
              </w:rPr>
              <w:t>Public Interest Disclosure Act 1998 (PIDA)</w:t>
            </w:r>
          </w:p>
        </w:tc>
        <w:tc>
          <w:tcPr>
            <w:tcW w:w="3260" w:type="dxa"/>
          </w:tcPr>
          <w:p w14:paraId="3BA8348D" w14:textId="77777777" w:rsidR="00E32838" w:rsidRPr="00E20C14" w:rsidRDefault="00000000">
            <w:pPr>
              <w:rPr>
                <w:rFonts w:ascii="Basel Classic" w:hAnsi="Basel Classic"/>
              </w:rPr>
            </w:pPr>
            <w:r w:rsidRPr="00E20C14">
              <w:rPr>
                <w:rFonts w:ascii="Basel Classic" w:hAnsi="Basel Classic"/>
              </w:rPr>
              <w:t>Primary whistleblowing protection law in the UK. Provides protection from detriment or dismissal when reporting wrongdoing.</w:t>
            </w:r>
          </w:p>
        </w:tc>
        <w:tc>
          <w:tcPr>
            <w:tcW w:w="4820" w:type="dxa"/>
          </w:tcPr>
          <w:p w14:paraId="3EF4E655" w14:textId="77777777" w:rsidR="00E32838" w:rsidRPr="00E20C14" w:rsidRDefault="00000000">
            <w:pPr>
              <w:rPr>
                <w:rFonts w:ascii="Basel Classic" w:hAnsi="Basel Classic"/>
              </w:rPr>
            </w:pPr>
            <w:r w:rsidRPr="00E20C14">
              <w:rPr>
                <w:rFonts w:ascii="Basel Classic" w:hAnsi="Basel Classic"/>
              </w:rPr>
              <w:t>https://www.legislation.gov.uk/ukpga/1998/23/contents</w:t>
            </w:r>
          </w:p>
        </w:tc>
      </w:tr>
      <w:tr w:rsidR="00E20C14" w:rsidRPr="00E20C14" w14:paraId="0D269FDE" w14:textId="77777777" w:rsidTr="00E20C14">
        <w:tc>
          <w:tcPr>
            <w:tcW w:w="1431" w:type="dxa"/>
          </w:tcPr>
          <w:p w14:paraId="12649FD5" w14:textId="77777777" w:rsidR="00E32838" w:rsidRPr="00E20C14" w:rsidRDefault="00000000">
            <w:pPr>
              <w:rPr>
                <w:rFonts w:ascii="Basel Classic" w:hAnsi="Basel Classic"/>
              </w:rPr>
            </w:pPr>
            <w:r w:rsidRPr="00E20C14">
              <w:rPr>
                <w:rFonts w:ascii="Basel Classic" w:hAnsi="Basel Classic"/>
              </w:rPr>
              <w:t>UK</w:t>
            </w:r>
          </w:p>
        </w:tc>
        <w:tc>
          <w:tcPr>
            <w:tcW w:w="1972" w:type="dxa"/>
          </w:tcPr>
          <w:p w14:paraId="39547A95" w14:textId="77777777" w:rsidR="00E32838" w:rsidRPr="00E20C14" w:rsidRDefault="00000000">
            <w:pPr>
              <w:rPr>
                <w:rFonts w:ascii="Basel Classic" w:hAnsi="Basel Classic"/>
              </w:rPr>
            </w:pPr>
            <w:r w:rsidRPr="00E20C14">
              <w:rPr>
                <w:rFonts w:ascii="Basel Classic" w:hAnsi="Basel Classic"/>
              </w:rPr>
              <w:t>Employment Rights Act 1996 – Sections 43A to 43L</w:t>
            </w:r>
          </w:p>
        </w:tc>
        <w:tc>
          <w:tcPr>
            <w:tcW w:w="3260" w:type="dxa"/>
          </w:tcPr>
          <w:p w14:paraId="78EF758D" w14:textId="77777777" w:rsidR="00E32838" w:rsidRPr="00E20C14" w:rsidRDefault="00000000">
            <w:pPr>
              <w:rPr>
                <w:rFonts w:ascii="Basel Classic" w:hAnsi="Basel Classic"/>
              </w:rPr>
            </w:pPr>
            <w:r w:rsidRPr="00E20C14">
              <w:rPr>
                <w:rFonts w:ascii="Basel Classic" w:hAnsi="Basel Classic"/>
              </w:rPr>
              <w:t>Defines protected disclosures, relevant wrongdoing, and statutory protections for workers.</w:t>
            </w:r>
          </w:p>
        </w:tc>
        <w:tc>
          <w:tcPr>
            <w:tcW w:w="4820" w:type="dxa"/>
          </w:tcPr>
          <w:p w14:paraId="157D90BF" w14:textId="77777777" w:rsidR="00E32838" w:rsidRPr="00E20C14" w:rsidRDefault="00000000">
            <w:pPr>
              <w:rPr>
                <w:rFonts w:ascii="Basel Classic" w:hAnsi="Basel Classic"/>
              </w:rPr>
            </w:pPr>
            <w:r w:rsidRPr="00E20C14">
              <w:rPr>
                <w:rFonts w:ascii="Basel Classic" w:hAnsi="Basel Classic"/>
              </w:rPr>
              <w:t>https://www.legislation.gov.uk/ukpga/1996/18/part/IVA</w:t>
            </w:r>
          </w:p>
        </w:tc>
      </w:tr>
      <w:tr w:rsidR="00E20C14" w:rsidRPr="00E20C14" w14:paraId="68F69358" w14:textId="77777777" w:rsidTr="00E20C14">
        <w:tc>
          <w:tcPr>
            <w:tcW w:w="1431" w:type="dxa"/>
          </w:tcPr>
          <w:p w14:paraId="1DCFCF22" w14:textId="77777777" w:rsidR="00E32838" w:rsidRPr="00E20C14" w:rsidRDefault="00000000">
            <w:pPr>
              <w:rPr>
                <w:rFonts w:ascii="Basel Classic" w:hAnsi="Basel Classic"/>
              </w:rPr>
            </w:pPr>
            <w:r w:rsidRPr="00E20C14">
              <w:rPr>
                <w:rFonts w:ascii="Basel Classic" w:hAnsi="Basel Classic"/>
              </w:rPr>
              <w:t>UK</w:t>
            </w:r>
          </w:p>
        </w:tc>
        <w:tc>
          <w:tcPr>
            <w:tcW w:w="1972" w:type="dxa"/>
          </w:tcPr>
          <w:p w14:paraId="484A09C4" w14:textId="77777777" w:rsidR="00E32838" w:rsidRPr="00E20C14" w:rsidRDefault="00000000">
            <w:pPr>
              <w:rPr>
                <w:rFonts w:ascii="Basel Classic" w:hAnsi="Basel Classic"/>
              </w:rPr>
            </w:pPr>
            <w:r w:rsidRPr="00E20C14">
              <w:rPr>
                <w:rFonts w:ascii="Basel Classic" w:hAnsi="Basel Classic"/>
              </w:rPr>
              <w:t>Financial Conduct Authority (FCA) Whistleblowing Rules</w:t>
            </w:r>
          </w:p>
        </w:tc>
        <w:tc>
          <w:tcPr>
            <w:tcW w:w="3260" w:type="dxa"/>
          </w:tcPr>
          <w:p w14:paraId="5B6589CE" w14:textId="77777777" w:rsidR="00E32838" w:rsidRPr="00E20C14" w:rsidRDefault="00000000">
            <w:pPr>
              <w:rPr>
                <w:rFonts w:ascii="Basel Classic" w:hAnsi="Basel Classic"/>
              </w:rPr>
            </w:pPr>
            <w:r w:rsidRPr="00E20C14">
              <w:rPr>
                <w:rFonts w:ascii="Basel Classic" w:hAnsi="Basel Classic"/>
              </w:rPr>
              <w:t>Firms must have internal whistleblowing arrangements and inform staff of protections. Applies to many regulated firms.</w:t>
            </w:r>
          </w:p>
        </w:tc>
        <w:tc>
          <w:tcPr>
            <w:tcW w:w="4820" w:type="dxa"/>
          </w:tcPr>
          <w:p w14:paraId="6164895D" w14:textId="77777777" w:rsidR="00E32838" w:rsidRPr="00E20C14" w:rsidRDefault="00000000">
            <w:pPr>
              <w:rPr>
                <w:rFonts w:ascii="Basel Classic" w:hAnsi="Basel Classic"/>
              </w:rPr>
            </w:pPr>
            <w:r w:rsidRPr="00E20C14">
              <w:rPr>
                <w:rFonts w:ascii="Basel Classic" w:hAnsi="Basel Classic"/>
              </w:rPr>
              <w:t>https://www.fca.org.uk/firms/whistleblowing</w:t>
            </w:r>
          </w:p>
        </w:tc>
      </w:tr>
      <w:tr w:rsidR="00E20C14" w:rsidRPr="00E20C14" w14:paraId="7C48D61A" w14:textId="77777777" w:rsidTr="00E20C14">
        <w:tc>
          <w:tcPr>
            <w:tcW w:w="1431" w:type="dxa"/>
          </w:tcPr>
          <w:p w14:paraId="567F79A6" w14:textId="77777777" w:rsidR="00E32838" w:rsidRPr="00E20C14" w:rsidRDefault="00000000">
            <w:pPr>
              <w:rPr>
                <w:rFonts w:ascii="Basel Classic" w:hAnsi="Basel Classic"/>
              </w:rPr>
            </w:pPr>
            <w:r w:rsidRPr="00E20C14">
              <w:rPr>
                <w:rFonts w:ascii="Basel Classic" w:hAnsi="Basel Classic"/>
              </w:rPr>
              <w:t>EU</w:t>
            </w:r>
          </w:p>
        </w:tc>
        <w:tc>
          <w:tcPr>
            <w:tcW w:w="1972" w:type="dxa"/>
          </w:tcPr>
          <w:p w14:paraId="736AB79C" w14:textId="77777777" w:rsidR="00E32838" w:rsidRPr="00E20C14" w:rsidRDefault="00000000">
            <w:pPr>
              <w:rPr>
                <w:rFonts w:ascii="Basel Classic" w:hAnsi="Basel Classic"/>
              </w:rPr>
            </w:pPr>
            <w:r w:rsidRPr="00E20C14">
              <w:rPr>
                <w:rFonts w:ascii="Basel Classic" w:hAnsi="Basel Classic"/>
              </w:rPr>
              <w:t>EDPS Guidelines on Whistleblowing</w:t>
            </w:r>
          </w:p>
        </w:tc>
        <w:tc>
          <w:tcPr>
            <w:tcW w:w="3260" w:type="dxa"/>
          </w:tcPr>
          <w:p w14:paraId="6012C17F" w14:textId="77777777" w:rsidR="00E32838" w:rsidRPr="00E20C14" w:rsidRDefault="00000000">
            <w:pPr>
              <w:rPr>
                <w:rFonts w:ascii="Basel Classic" w:hAnsi="Basel Classic"/>
              </w:rPr>
            </w:pPr>
            <w:r w:rsidRPr="00E20C14">
              <w:rPr>
                <w:rFonts w:ascii="Basel Classic" w:hAnsi="Basel Classic"/>
              </w:rPr>
              <w:t>Data protection rules for processing whistleblower data in EU institutions.</w:t>
            </w:r>
          </w:p>
        </w:tc>
        <w:tc>
          <w:tcPr>
            <w:tcW w:w="4820" w:type="dxa"/>
          </w:tcPr>
          <w:p w14:paraId="4A961FA5" w14:textId="77777777" w:rsidR="00E32838" w:rsidRPr="00E20C14" w:rsidRDefault="00000000">
            <w:pPr>
              <w:rPr>
                <w:rFonts w:ascii="Basel Classic" w:hAnsi="Basel Classic"/>
              </w:rPr>
            </w:pPr>
            <w:r w:rsidRPr="00E20C14">
              <w:rPr>
                <w:rFonts w:ascii="Basel Classic" w:hAnsi="Basel Classic"/>
              </w:rPr>
              <w:t>https://edps.europa.eu/data-protection/our-work/publications/guidelines/whistleblowing-guidelines_en</w:t>
            </w:r>
          </w:p>
        </w:tc>
      </w:tr>
    </w:tbl>
    <w:p w14:paraId="70066BA8" w14:textId="77777777" w:rsidR="00E20C14" w:rsidRDefault="00E20C14" w:rsidP="00E20C14">
      <w:pPr>
        <w:rPr>
          <w:rFonts w:ascii="Basel Classic" w:hAnsi="Basel Classic"/>
          <w:i/>
          <w:iCs/>
          <w:sz w:val="12"/>
          <w:szCs w:val="12"/>
          <w:lang w:val="en-GB"/>
        </w:rPr>
      </w:pPr>
    </w:p>
    <w:p w14:paraId="170CCE06" w14:textId="7F9AC863" w:rsidR="00E20C14" w:rsidRPr="00E20C14" w:rsidRDefault="00E20C14" w:rsidP="00E20C14">
      <w:pPr>
        <w:rPr>
          <w:rFonts w:ascii="Basel Classic" w:hAnsi="Basel Classic"/>
          <w:sz w:val="12"/>
          <w:szCs w:val="12"/>
          <w:lang w:val="en-GB"/>
        </w:rPr>
      </w:pPr>
      <w:r w:rsidRPr="00E20C14">
        <w:rPr>
          <w:rFonts w:ascii="Basel Classic" w:hAnsi="Basel Classic"/>
          <w:i/>
          <w:iCs/>
          <w:sz w:val="12"/>
          <w:szCs w:val="12"/>
          <w:lang w:val="en-GB"/>
        </w:rPr>
        <w:t>The materials provided on this website, including all templates, blog posts, and downloadable documents, are for general informational purposes only. They do not constitute legal advice, nor should they be relied upon as a substitute for independent legal consultation. While every effort has been made to ensure accuracy and relevance, laws may vary by jurisdiction, and individual circumstances matter.</w:t>
      </w:r>
    </w:p>
    <w:p w14:paraId="61487A25" w14:textId="77777777" w:rsidR="00E20C14" w:rsidRPr="00E20C14" w:rsidRDefault="00E20C14" w:rsidP="00E20C14">
      <w:pPr>
        <w:rPr>
          <w:rFonts w:ascii="Basel Classic" w:hAnsi="Basel Classic"/>
          <w:sz w:val="12"/>
          <w:szCs w:val="12"/>
          <w:lang w:val="en-GB"/>
        </w:rPr>
      </w:pPr>
      <w:r w:rsidRPr="00E20C14">
        <w:rPr>
          <w:rFonts w:ascii="Basel Classic" w:hAnsi="Basel Classic"/>
          <w:i/>
          <w:iCs/>
          <w:sz w:val="12"/>
          <w:szCs w:val="12"/>
          <w:lang w:val="en-GB"/>
        </w:rPr>
        <w:t>Ramella Corporate Consulting Ltd and its affiliates accept no responsibility or liability for any loss, harm, or action taken as a result of using these materials. If you are facing retaliation, legal proceedings, or formal dismissal related to whistleblowing, you are strongly advised to seek qualified legal representation immediately.</w:t>
      </w:r>
    </w:p>
    <w:p w14:paraId="672A2D7E" w14:textId="2F16251E" w:rsidR="00E20C14" w:rsidRPr="00E20C14" w:rsidRDefault="00E20C14">
      <w:pPr>
        <w:rPr>
          <w:rFonts w:ascii="Basel Classic" w:hAnsi="Basel Classic"/>
          <w:sz w:val="12"/>
          <w:szCs w:val="12"/>
          <w:lang w:val="en-GB"/>
        </w:rPr>
      </w:pPr>
      <w:r w:rsidRPr="00E20C14">
        <w:rPr>
          <w:rFonts w:ascii="Basel Classic" w:hAnsi="Basel Classic"/>
          <w:i/>
          <w:iCs/>
          <w:sz w:val="12"/>
          <w:szCs w:val="12"/>
          <w:lang w:val="en-GB"/>
        </w:rPr>
        <w:t>By downloading or using the documents provided, you acknowledge this disclaimer and assume full responsibility for how they are used.</w:t>
      </w:r>
    </w:p>
    <w:sectPr w:rsidR="00E20C14" w:rsidRPr="00E20C14"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F9BBF" w14:textId="77777777" w:rsidR="00B92101" w:rsidRDefault="00B92101" w:rsidP="00E20C14">
      <w:pPr>
        <w:spacing w:after="0" w:line="240" w:lineRule="auto"/>
      </w:pPr>
      <w:r>
        <w:separator/>
      </w:r>
    </w:p>
  </w:endnote>
  <w:endnote w:type="continuationSeparator" w:id="0">
    <w:p w14:paraId="4C087779" w14:textId="77777777" w:rsidR="00B92101" w:rsidRDefault="00B92101" w:rsidP="00E2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asel Classic">
    <w:panose1 w:val="020B0503040202020204"/>
    <w:charset w:val="00"/>
    <w:family w:val="swiss"/>
    <w:notTrueType/>
    <w:pitch w:val="variable"/>
    <w:sig w:usb0="20000007" w:usb1="0000001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D364" w14:textId="77777777" w:rsidR="00B92101" w:rsidRDefault="00B92101" w:rsidP="00E20C14">
      <w:pPr>
        <w:spacing w:after="0" w:line="240" w:lineRule="auto"/>
      </w:pPr>
      <w:r>
        <w:separator/>
      </w:r>
    </w:p>
  </w:footnote>
  <w:footnote w:type="continuationSeparator" w:id="0">
    <w:p w14:paraId="370D97CF" w14:textId="77777777" w:rsidR="00B92101" w:rsidRDefault="00B92101" w:rsidP="00E20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49470897">
    <w:abstractNumId w:val="8"/>
  </w:num>
  <w:num w:numId="2" w16cid:durableId="1248464312">
    <w:abstractNumId w:val="6"/>
  </w:num>
  <w:num w:numId="3" w16cid:durableId="1614433579">
    <w:abstractNumId w:val="5"/>
  </w:num>
  <w:num w:numId="4" w16cid:durableId="401030422">
    <w:abstractNumId w:val="4"/>
  </w:num>
  <w:num w:numId="5" w16cid:durableId="635139149">
    <w:abstractNumId w:val="7"/>
  </w:num>
  <w:num w:numId="6" w16cid:durableId="2050178690">
    <w:abstractNumId w:val="3"/>
  </w:num>
  <w:num w:numId="7" w16cid:durableId="1139347277">
    <w:abstractNumId w:val="2"/>
  </w:num>
  <w:num w:numId="8" w16cid:durableId="1179659476">
    <w:abstractNumId w:val="1"/>
  </w:num>
  <w:num w:numId="9" w16cid:durableId="208904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5F36"/>
    <w:rsid w:val="0029639D"/>
    <w:rsid w:val="00326F90"/>
    <w:rsid w:val="00AA1D8D"/>
    <w:rsid w:val="00B47730"/>
    <w:rsid w:val="00B92101"/>
    <w:rsid w:val="00CB0664"/>
    <w:rsid w:val="00E20C14"/>
    <w:rsid w:val="00E3283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D4F78D"/>
  <w14:defaultImageDpi w14:val="300"/>
  <w15:docId w15:val="{48AA73FD-EC8E-4C6F-9CD4-922399B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672593">
      <w:bodyDiv w:val="1"/>
      <w:marLeft w:val="0"/>
      <w:marRight w:val="0"/>
      <w:marTop w:val="0"/>
      <w:marBottom w:val="0"/>
      <w:divBdr>
        <w:top w:val="none" w:sz="0" w:space="0" w:color="auto"/>
        <w:left w:val="none" w:sz="0" w:space="0" w:color="auto"/>
        <w:bottom w:val="none" w:sz="0" w:space="0" w:color="auto"/>
        <w:right w:val="none" w:sz="0" w:space="0" w:color="auto"/>
      </w:divBdr>
    </w:div>
    <w:div w:id="2083990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Tyronne Ramella</cp:lastModifiedBy>
  <cp:revision>2</cp:revision>
  <dcterms:created xsi:type="dcterms:W3CDTF">2025-05-13T18:18:00Z</dcterms:created>
  <dcterms:modified xsi:type="dcterms:W3CDTF">2025-05-13T18:18:00Z</dcterms:modified>
  <cp:category/>
</cp:coreProperties>
</file>