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D61ED">
      <w:bookmarkStart w:id="0" w:name="_GoBack"/>
      <w:bookmarkEnd w:id="0"/>
      <w:r>
        <w:t>Easy Access to All Licensed Tools and Models on Arm</w:t>
      </w:r>
    </w:p>
    <w:p w14:paraId="5732B982">
      <w:r>
        <w:t>Arm Success Kits are a smart way to purchase and access licensed tools and models for both hardware and software development. Each user has unlimited access to all the licensed tools and models they need for maximum productivity.</w:t>
      </w:r>
    </w:p>
    <w:p w14:paraId="5003862B">
      <w:r>
        <w:t>Success Kits Benefits</w:t>
      </w:r>
    </w:p>
    <w:p w14:paraId="323F0693"/>
    <w:p w14:paraId="36EBFEE8">
      <w:r>
        <w:t>Simplicity</w:t>
      </w:r>
    </w:p>
    <w:p w14:paraId="169EEB64">
      <w:pPr>
        <w:numPr>
          <w:ilvl w:val="0"/>
          <w:numId w:val="1"/>
        </w:numPr>
      </w:pPr>
      <w:r>
        <w:t>Designed for easy access to Arm tools and models, encouraging IP exploration, and helping drive innovation.</w:t>
      </w:r>
    </w:p>
    <w:p w14:paraId="69B91E63">
      <w:pPr>
        <w:numPr>
          <w:ilvl w:val="0"/>
          <w:numId w:val="1"/>
        </w:numPr>
      </w:pPr>
      <w:r>
        <w:t>Tools and models for all of the Arm IP are included, enabling designers to choose the best IP for their products.</w:t>
      </w:r>
    </w:p>
    <w:p w14:paraId="7DCFAB9B">
      <w:pPr>
        <w:numPr>
          <w:ilvl w:val="0"/>
          <w:numId w:val="1"/>
        </w:numPr>
      </w:pPr>
      <w:r>
        <w:t>User-based licensing makes it simple to plan for and manage by requiring only one license per user. Provisioning is automatic, eliminating administration overhead.</w:t>
      </w:r>
    </w:p>
    <w:p w14:paraId="22F74BE0"/>
    <w:p w14:paraId="04269FE1">
      <w:r>
        <w:t>Flexibility</w:t>
      </w:r>
    </w:p>
    <w:p w14:paraId="58D02380">
      <w:pPr>
        <w:numPr>
          <w:ilvl w:val="0"/>
          <w:numId w:val="2"/>
        </w:numPr>
      </w:pPr>
      <w:r>
        <w:t>Each user has unlimited access to all the licensed tools and models for optimal productivity and efficiency.</w:t>
      </w:r>
    </w:p>
    <w:p w14:paraId="43EEB825">
      <w:pPr>
        <w:numPr>
          <w:ilvl w:val="0"/>
          <w:numId w:val="2"/>
        </w:numPr>
      </w:pPr>
      <w:r>
        <w:t>Developed to be flexible with modern software development environments in mind.</w:t>
      </w:r>
    </w:p>
    <w:p w14:paraId="381B4AB2">
      <w:pPr>
        <w:numPr>
          <w:ilvl w:val="0"/>
          <w:numId w:val="2"/>
        </w:numPr>
      </w:pPr>
      <w:r>
        <w:t>Optimized for maximum throughput in continuous integration and regression testing environments.</w:t>
      </w:r>
    </w:p>
    <w:p w14:paraId="0A0D4DAF">
      <w:pPr>
        <w:numPr>
          <w:ilvl w:val="0"/>
          <w:numId w:val="2"/>
        </w:numPr>
      </w:pPr>
      <w:r>
        <w:t>Ideal for enabling cloud-based tools and models usage.</w:t>
      </w:r>
    </w:p>
    <w:p w14:paraId="3DFD9C89">
      <w:pPr>
        <w:ind w:left="720"/>
        <w:rPr>
          <w:rFonts w:hint="eastAsia"/>
        </w:rPr>
      </w:pPr>
    </w:p>
    <w:p w14:paraId="6749C24D">
      <w:r>
        <w:t>What’s included in the Hardware Success Kit</w:t>
      </w:r>
    </w:p>
    <w:tbl>
      <w:tblPr>
        <w:tblStyle w:val="13"/>
        <w:tblW w:w="12325" w:type="dxa"/>
        <w:jc w:val="center"/>
        <w:tblLayout w:type="autofit"/>
        <w:tblCellMar>
          <w:top w:w="15" w:type="dxa"/>
          <w:left w:w="15" w:type="dxa"/>
          <w:bottom w:w="15" w:type="dxa"/>
          <w:right w:w="15" w:type="dxa"/>
        </w:tblCellMar>
      </w:tblPr>
      <w:tblGrid>
        <w:gridCol w:w="3536"/>
        <w:gridCol w:w="8789"/>
      </w:tblGrid>
      <w:tr w14:paraId="0E30DFEE">
        <w:tblPrEx>
          <w:tblCellMar>
            <w:top w:w="15" w:type="dxa"/>
            <w:left w:w="15" w:type="dxa"/>
            <w:bottom w:w="15" w:type="dxa"/>
            <w:right w:w="15" w:type="dxa"/>
          </w:tblCellMar>
        </w:tblPrEx>
        <w:trPr>
          <w:tblHeader/>
          <w:jc w:val="center"/>
        </w:trPr>
        <w:tc>
          <w:tcPr>
            <w:tcW w:w="3536" w:type="dxa"/>
            <w:tcBorders>
              <w:top w:val="single" w:color="DDDDDD" w:sz="6" w:space="0"/>
              <w:left w:val="single" w:color="DDDDDD" w:sz="6" w:space="0"/>
              <w:bottom w:val="single" w:color="DDDDDD" w:sz="6" w:space="0"/>
              <w:right w:val="single" w:color="DDDDDD" w:sz="6" w:space="0"/>
            </w:tcBorders>
            <w:shd w:val="clear" w:color="auto" w:fill="F4F4F4"/>
            <w:tcMar>
              <w:top w:w="150" w:type="dxa"/>
              <w:left w:w="150" w:type="dxa"/>
              <w:bottom w:w="150" w:type="dxa"/>
              <w:right w:w="150" w:type="dxa"/>
            </w:tcMar>
            <w:vAlign w:val="center"/>
          </w:tcPr>
          <w:p w14:paraId="13AFE588">
            <w:pPr>
              <w:rPr>
                <w:b/>
                <w:bCs/>
              </w:rPr>
            </w:pPr>
          </w:p>
        </w:tc>
        <w:tc>
          <w:tcPr>
            <w:tcW w:w="8789" w:type="dxa"/>
            <w:tcBorders>
              <w:top w:val="single" w:color="DDDDDD" w:sz="6" w:space="0"/>
              <w:left w:val="single" w:color="DDDDDD" w:sz="6" w:space="0"/>
              <w:bottom w:val="single" w:color="DDDDDD" w:sz="6" w:space="0"/>
              <w:right w:val="single" w:color="DDDDDD" w:sz="6" w:space="0"/>
            </w:tcBorders>
            <w:shd w:val="clear" w:color="auto" w:fill="F4F4F4"/>
            <w:tcMar>
              <w:top w:w="150" w:type="dxa"/>
              <w:left w:w="150" w:type="dxa"/>
              <w:bottom w:w="150" w:type="dxa"/>
              <w:right w:w="150" w:type="dxa"/>
            </w:tcMar>
            <w:vAlign w:val="center"/>
          </w:tcPr>
          <w:p w14:paraId="5E0558EA">
            <w:pPr>
              <w:rPr>
                <w:b/>
                <w:bCs/>
              </w:rPr>
            </w:pPr>
            <w:r>
              <w:rPr>
                <w:b/>
                <w:bCs/>
              </w:rPr>
              <w:t>Hardware Success Kit</w:t>
            </w:r>
          </w:p>
        </w:tc>
      </w:tr>
      <w:tr w14:paraId="281F228D">
        <w:tblPrEx>
          <w:tblCellMar>
            <w:top w:w="15" w:type="dxa"/>
            <w:left w:w="15" w:type="dxa"/>
            <w:bottom w:w="15" w:type="dxa"/>
            <w:right w:w="15" w:type="dxa"/>
          </w:tblCellMar>
        </w:tblPrEx>
        <w:trPr>
          <w:jc w:val="center"/>
        </w:trPr>
        <w:tc>
          <w:tcPr>
            <w:tcW w:w="3536" w:type="dxa"/>
            <w:tcBorders>
              <w:top w:val="single" w:color="DDDDDD" w:sz="6" w:space="0"/>
              <w:left w:val="single" w:color="DDDDDD" w:sz="6" w:space="0"/>
              <w:bottom w:val="single" w:color="DDDDDD" w:sz="6" w:space="0"/>
              <w:right w:val="single" w:color="DDDDDD" w:sz="6" w:space="0"/>
            </w:tcBorders>
            <w:shd w:val="clear" w:color="auto" w:fill="FFFFFF"/>
            <w:tcMar>
              <w:top w:w="150" w:type="dxa"/>
              <w:left w:w="150" w:type="dxa"/>
              <w:bottom w:w="150" w:type="dxa"/>
              <w:right w:w="150" w:type="dxa"/>
            </w:tcMar>
            <w:vAlign w:val="center"/>
          </w:tcPr>
          <w:p w14:paraId="040B558D">
            <w:r>
              <w:rPr>
                <w:b/>
                <w:bCs/>
              </w:rPr>
              <w:t>IP Discovery and Evaluation</w:t>
            </w:r>
          </w:p>
        </w:tc>
        <w:tc>
          <w:tcPr>
            <w:tcW w:w="8789" w:type="dxa"/>
            <w:tcBorders>
              <w:top w:val="single" w:color="DDDDDD" w:sz="6" w:space="0"/>
              <w:left w:val="single" w:color="DDDDDD" w:sz="6" w:space="0"/>
              <w:bottom w:val="single" w:color="DDDDDD" w:sz="6" w:space="0"/>
              <w:right w:val="single" w:color="DDDDDD" w:sz="6" w:space="0"/>
            </w:tcBorders>
            <w:shd w:val="clear" w:color="auto" w:fill="FFFFFF"/>
            <w:tcMar>
              <w:top w:w="150" w:type="dxa"/>
              <w:left w:w="150" w:type="dxa"/>
              <w:bottom w:w="150" w:type="dxa"/>
              <w:right w:w="150" w:type="dxa"/>
            </w:tcMar>
            <w:vAlign w:val="center"/>
          </w:tcPr>
          <w:p w14:paraId="41DDBC84">
            <w:pPr>
              <w:numPr>
                <w:ilvl w:val="0"/>
                <w:numId w:val="3"/>
              </w:numPr>
            </w:pPr>
            <w:r>
              <w:t>Socrates</w:t>
            </w:r>
          </w:p>
          <w:p w14:paraId="7295F9EE">
            <w:pPr>
              <w:numPr>
                <w:ilvl w:val="0"/>
                <w:numId w:val="3"/>
              </w:numPr>
            </w:pPr>
            <w:r>
              <w:t>AMBA Viz</w:t>
            </w:r>
          </w:p>
          <w:p w14:paraId="7EA20177">
            <w:pPr>
              <w:numPr>
                <w:ilvl w:val="0"/>
                <w:numId w:val="3"/>
              </w:numPr>
            </w:pPr>
            <w:r>
              <w:t>Interconnect Performance Models</w:t>
            </w:r>
          </w:p>
        </w:tc>
      </w:tr>
      <w:tr w14:paraId="72BB473F">
        <w:tblPrEx>
          <w:tblCellMar>
            <w:top w:w="15" w:type="dxa"/>
            <w:left w:w="15" w:type="dxa"/>
            <w:bottom w:w="15" w:type="dxa"/>
            <w:right w:w="15" w:type="dxa"/>
          </w:tblCellMar>
        </w:tblPrEx>
        <w:trPr>
          <w:jc w:val="center"/>
        </w:trPr>
        <w:tc>
          <w:tcPr>
            <w:tcW w:w="3536" w:type="dxa"/>
            <w:tcBorders>
              <w:top w:val="single" w:color="DDDDDD" w:sz="6" w:space="0"/>
              <w:left w:val="single" w:color="DDDDDD" w:sz="6" w:space="0"/>
              <w:bottom w:val="single" w:color="DDDDDD" w:sz="6" w:space="0"/>
              <w:right w:val="single" w:color="DDDDDD" w:sz="6" w:space="0"/>
            </w:tcBorders>
            <w:shd w:val="clear" w:color="auto" w:fill="FFFFFF"/>
            <w:tcMar>
              <w:top w:w="150" w:type="dxa"/>
              <w:left w:w="150" w:type="dxa"/>
              <w:bottom w:w="150" w:type="dxa"/>
              <w:right w:w="150" w:type="dxa"/>
            </w:tcMar>
            <w:vAlign w:val="center"/>
          </w:tcPr>
          <w:p w14:paraId="4D7D397D">
            <w:r>
              <w:rPr>
                <w:b/>
                <w:bCs/>
              </w:rPr>
              <w:t>IP Configuration and Verification</w:t>
            </w:r>
          </w:p>
        </w:tc>
        <w:tc>
          <w:tcPr>
            <w:tcW w:w="8789" w:type="dxa"/>
            <w:tcBorders>
              <w:top w:val="single" w:color="DDDDDD" w:sz="6" w:space="0"/>
              <w:left w:val="single" w:color="DDDDDD" w:sz="6" w:space="0"/>
              <w:bottom w:val="single" w:color="DDDDDD" w:sz="6" w:space="0"/>
              <w:right w:val="single" w:color="DDDDDD" w:sz="6" w:space="0"/>
            </w:tcBorders>
            <w:shd w:val="clear" w:color="auto" w:fill="FFFFFF"/>
            <w:tcMar>
              <w:top w:w="150" w:type="dxa"/>
              <w:left w:w="150" w:type="dxa"/>
              <w:bottom w:w="150" w:type="dxa"/>
              <w:right w:w="150" w:type="dxa"/>
            </w:tcMar>
            <w:vAlign w:val="center"/>
          </w:tcPr>
          <w:p w14:paraId="58134813">
            <w:pPr>
              <w:numPr>
                <w:ilvl w:val="0"/>
                <w:numId w:val="4"/>
              </w:numPr>
            </w:pPr>
            <w:r>
              <w:t>Socrates</w:t>
            </w:r>
          </w:p>
          <w:p w14:paraId="76C0EEAB">
            <w:pPr>
              <w:numPr>
                <w:ilvl w:val="0"/>
                <w:numId w:val="4"/>
              </w:numPr>
            </w:pPr>
            <w:r>
              <w:t>AMBA Viz</w:t>
            </w:r>
          </w:p>
          <w:p w14:paraId="62911A4B">
            <w:pPr>
              <w:numPr>
                <w:ilvl w:val="0"/>
                <w:numId w:val="4"/>
              </w:numPr>
            </w:pPr>
            <w:r>
              <w:t>Arm Development Studio</w:t>
            </w:r>
          </w:p>
          <w:p w14:paraId="73AA98F8">
            <w:pPr>
              <w:numPr>
                <w:ilvl w:val="0"/>
                <w:numId w:val="4"/>
              </w:numPr>
            </w:pPr>
            <w:r>
              <w:t>Fast Models System Creation</w:t>
            </w:r>
          </w:p>
        </w:tc>
      </w:tr>
      <w:tr w14:paraId="48A3C717">
        <w:tblPrEx>
          <w:tblCellMar>
            <w:top w:w="15" w:type="dxa"/>
            <w:left w:w="15" w:type="dxa"/>
            <w:bottom w:w="15" w:type="dxa"/>
            <w:right w:w="15" w:type="dxa"/>
          </w:tblCellMar>
        </w:tblPrEx>
        <w:trPr>
          <w:jc w:val="center"/>
        </w:trPr>
        <w:tc>
          <w:tcPr>
            <w:tcW w:w="3536" w:type="dxa"/>
            <w:tcBorders>
              <w:top w:val="single" w:color="DDDDDD" w:sz="6" w:space="0"/>
              <w:left w:val="single" w:color="DDDDDD" w:sz="6" w:space="0"/>
              <w:bottom w:val="single" w:color="DDDDDD" w:sz="6" w:space="0"/>
              <w:right w:val="single" w:color="DDDDDD" w:sz="6" w:space="0"/>
            </w:tcBorders>
            <w:shd w:val="clear" w:color="auto" w:fill="FFFFFF"/>
            <w:tcMar>
              <w:top w:w="150" w:type="dxa"/>
              <w:left w:w="150" w:type="dxa"/>
              <w:bottom w:w="150" w:type="dxa"/>
              <w:right w:w="150" w:type="dxa"/>
            </w:tcMar>
            <w:vAlign w:val="center"/>
          </w:tcPr>
          <w:p w14:paraId="15A91E1F">
            <w:r>
              <w:rPr>
                <w:b/>
                <w:bCs/>
              </w:rPr>
              <w:t>Software - Hardware Co-design</w:t>
            </w:r>
          </w:p>
        </w:tc>
        <w:tc>
          <w:tcPr>
            <w:tcW w:w="8789" w:type="dxa"/>
            <w:tcBorders>
              <w:top w:val="single" w:color="DDDDDD" w:sz="6" w:space="0"/>
              <w:left w:val="single" w:color="DDDDDD" w:sz="6" w:space="0"/>
              <w:bottom w:val="single" w:color="DDDDDD" w:sz="6" w:space="0"/>
              <w:right w:val="single" w:color="DDDDDD" w:sz="6" w:space="0"/>
            </w:tcBorders>
            <w:shd w:val="clear" w:color="auto" w:fill="FFFFFF"/>
            <w:tcMar>
              <w:top w:w="150" w:type="dxa"/>
              <w:left w:w="150" w:type="dxa"/>
              <w:bottom w:w="150" w:type="dxa"/>
              <w:right w:w="150" w:type="dxa"/>
            </w:tcMar>
            <w:vAlign w:val="center"/>
          </w:tcPr>
          <w:p w14:paraId="13F543D6">
            <w:pPr>
              <w:numPr>
                <w:ilvl w:val="0"/>
                <w:numId w:val="5"/>
              </w:numPr>
            </w:pPr>
            <w:r>
              <w:t>Fast Models Run Time</w:t>
            </w:r>
          </w:p>
          <w:p w14:paraId="4338218A">
            <w:pPr>
              <w:numPr>
                <w:ilvl w:val="0"/>
                <w:numId w:val="5"/>
              </w:numPr>
            </w:pPr>
            <w:r>
              <w:t>Arm Development Studio</w:t>
            </w:r>
          </w:p>
          <w:p w14:paraId="5B6B78D5">
            <w:pPr>
              <w:numPr>
                <w:ilvl w:val="0"/>
                <w:numId w:val="5"/>
              </w:numPr>
            </w:pPr>
            <w:r>
              <w:t>Fixed Virtual Platforms (FVP, included in Arm Development Studio)</w:t>
            </w:r>
          </w:p>
          <w:p w14:paraId="45076B14">
            <w:pPr>
              <w:numPr>
                <w:ilvl w:val="0"/>
                <w:numId w:val="5"/>
              </w:numPr>
            </w:pPr>
            <w:r>
              <w:t>Fast Models System Creation</w:t>
            </w:r>
          </w:p>
        </w:tc>
      </w:tr>
      <w:tr w14:paraId="655F7F49">
        <w:tblPrEx>
          <w:tblCellMar>
            <w:top w:w="15" w:type="dxa"/>
            <w:left w:w="15" w:type="dxa"/>
            <w:bottom w:w="15" w:type="dxa"/>
            <w:right w:w="15" w:type="dxa"/>
          </w:tblCellMar>
        </w:tblPrEx>
        <w:trPr>
          <w:jc w:val="center"/>
        </w:trPr>
        <w:tc>
          <w:tcPr>
            <w:tcW w:w="3536" w:type="dxa"/>
            <w:tcBorders>
              <w:top w:val="single" w:color="DDDDDD" w:sz="6" w:space="0"/>
              <w:left w:val="single" w:color="DDDDDD" w:sz="6" w:space="0"/>
              <w:bottom w:val="single" w:color="DDDDDD" w:sz="6" w:space="0"/>
              <w:right w:val="single" w:color="DDDDDD" w:sz="6" w:space="0"/>
            </w:tcBorders>
            <w:shd w:val="clear" w:color="auto" w:fill="FFFFFF"/>
            <w:tcMar>
              <w:top w:w="150" w:type="dxa"/>
              <w:left w:w="150" w:type="dxa"/>
              <w:bottom w:w="150" w:type="dxa"/>
              <w:right w:w="150" w:type="dxa"/>
            </w:tcMar>
            <w:vAlign w:val="center"/>
          </w:tcPr>
          <w:p w14:paraId="4E199B9D">
            <w:r>
              <w:rPr>
                <w:b/>
                <w:bCs/>
              </w:rPr>
              <w:t>Automotive and Functional Safety Software Development</w:t>
            </w:r>
          </w:p>
        </w:tc>
        <w:tc>
          <w:tcPr>
            <w:tcW w:w="8789" w:type="dxa"/>
            <w:tcBorders>
              <w:top w:val="single" w:color="DDDDDD" w:sz="6" w:space="0"/>
              <w:left w:val="single" w:color="DDDDDD" w:sz="6" w:space="0"/>
              <w:bottom w:val="single" w:color="DDDDDD" w:sz="6" w:space="0"/>
              <w:right w:val="single" w:color="DDDDDD" w:sz="6" w:space="0"/>
            </w:tcBorders>
            <w:shd w:val="clear" w:color="auto" w:fill="FFFFFF"/>
            <w:tcMar>
              <w:top w:w="150" w:type="dxa"/>
              <w:left w:w="150" w:type="dxa"/>
              <w:bottom w:w="150" w:type="dxa"/>
              <w:right w:w="150" w:type="dxa"/>
            </w:tcMar>
            <w:vAlign w:val="center"/>
          </w:tcPr>
          <w:p w14:paraId="4773C335">
            <w:pPr>
              <w:numPr>
                <w:ilvl w:val="0"/>
                <w:numId w:val="6"/>
              </w:numPr>
            </w:pPr>
            <w:r>
              <w:t>Certified C Library</w:t>
            </w:r>
          </w:p>
          <w:p w14:paraId="3F1494AE">
            <w:pPr>
              <w:numPr>
                <w:ilvl w:val="0"/>
                <w:numId w:val="6"/>
              </w:numPr>
            </w:pPr>
            <w:r>
              <w:t>Fusa RTS</w:t>
            </w:r>
          </w:p>
          <w:p w14:paraId="1398BB8B">
            <w:pPr>
              <w:numPr>
                <w:ilvl w:val="0"/>
                <w:numId w:val="6"/>
              </w:numPr>
            </w:pPr>
            <w:r>
              <w:t>Arm Compiler for Embedded FuSa (Included in Arm Development Studio)</w:t>
            </w:r>
          </w:p>
        </w:tc>
      </w:tr>
      <w:tr w14:paraId="4CB0F823">
        <w:tblPrEx>
          <w:tblCellMar>
            <w:top w:w="15" w:type="dxa"/>
            <w:left w:w="15" w:type="dxa"/>
            <w:bottom w:w="15" w:type="dxa"/>
            <w:right w:w="15" w:type="dxa"/>
          </w:tblCellMar>
        </w:tblPrEx>
        <w:trPr>
          <w:jc w:val="center"/>
        </w:trPr>
        <w:tc>
          <w:tcPr>
            <w:tcW w:w="3536" w:type="dxa"/>
            <w:tcBorders>
              <w:top w:val="single" w:color="DDDDDD" w:sz="6" w:space="0"/>
              <w:left w:val="single" w:color="DDDDDD" w:sz="6" w:space="0"/>
              <w:bottom w:val="single" w:color="DDDDDD" w:sz="6" w:space="0"/>
              <w:right w:val="single" w:color="DDDDDD" w:sz="6" w:space="0"/>
            </w:tcBorders>
            <w:shd w:val="clear" w:color="auto" w:fill="FFFFFF"/>
            <w:tcMar>
              <w:top w:w="150" w:type="dxa"/>
              <w:left w:w="150" w:type="dxa"/>
              <w:bottom w:w="150" w:type="dxa"/>
              <w:right w:w="150" w:type="dxa"/>
            </w:tcMar>
            <w:vAlign w:val="center"/>
          </w:tcPr>
          <w:p w14:paraId="1BA311C7">
            <w:r>
              <w:rPr>
                <w:b/>
                <w:bCs/>
              </w:rPr>
              <w:t>IoT, ML and Embedded Software Development</w:t>
            </w:r>
          </w:p>
        </w:tc>
        <w:tc>
          <w:tcPr>
            <w:tcW w:w="8789" w:type="dxa"/>
            <w:tcBorders>
              <w:top w:val="single" w:color="DDDDDD" w:sz="6" w:space="0"/>
              <w:left w:val="single" w:color="DDDDDD" w:sz="6" w:space="0"/>
              <w:bottom w:val="single" w:color="DDDDDD" w:sz="6" w:space="0"/>
              <w:right w:val="single" w:color="DDDDDD" w:sz="6" w:space="0"/>
            </w:tcBorders>
            <w:shd w:val="clear" w:color="auto" w:fill="FFFFFF"/>
            <w:tcMar>
              <w:top w:w="150" w:type="dxa"/>
              <w:left w:w="150" w:type="dxa"/>
              <w:bottom w:w="150" w:type="dxa"/>
              <w:right w:w="150" w:type="dxa"/>
            </w:tcMar>
            <w:vAlign w:val="center"/>
          </w:tcPr>
          <w:p w14:paraId="59EDB53D">
            <w:pPr>
              <w:numPr>
                <w:ilvl w:val="0"/>
                <w:numId w:val="7"/>
              </w:numPr>
            </w:pPr>
            <w:r>
              <w:t>Keil MDK v6 Professional</w:t>
            </w:r>
          </w:p>
          <w:p w14:paraId="0F4EDCF9">
            <w:pPr>
              <w:numPr>
                <w:ilvl w:val="0"/>
                <w:numId w:val="7"/>
              </w:numPr>
            </w:pPr>
            <w:r>
              <w:t>Arm Compiler for Embedded (Included in Arm Development Studio)</w:t>
            </w:r>
          </w:p>
          <w:p w14:paraId="5F8000F1">
            <w:pPr>
              <w:numPr>
                <w:ilvl w:val="0"/>
                <w:numId w:val="7"/>
              </w:numPr>
            </w:pPr>
            <w:r>
              <w:t>Fixed Virtual Platforms (FVP, included in Arm Development Studio)</w:t>
            </w:r>
          </w:p>
        </w:tc>
      </w:tr>
    </w:tbl>
    <w:p w14:paraId="44F69F01"/>
    <w:p w14:paraId="380CC577"/>
    <w:p w14:paraId="2AA49B40">
      <w:r>
        <w:rPr>
          <w:rFonts w:hint="eastAsia"/>
        </w:rPr>
        <w:t>来源：</w:t>
      </w:r>
    </w:p>
    <w:p w14:paraId="3CACDCCE">
      <w:r>
        <w:fldChar w:fldCharType="begin"/>
      </w:r>
      <w:r>
        <w:instrText xml:space="preserve"> HYPERLINK "https://www.arm.com/en/products/development-tools/success-kits" </w:instrText>
      </w:r>
      <w:r>
        <w:fldChar w:fldCharType="separate"/>
      </w:r>
      <w:r>
        <w:rPr>
          <w:rStyle w:val="15"/>
        </w:rPr>
        <w:t>https://www.arm.com/en/products/development-tools/success-kits</w:t>
      </w:r>
      <w:r>
        <w:rPr>
          <w:rStyle w:val="15"/>
        </w:rPr>
        <w:fldChar w:fldCharType="end"/>
      </w:r>
    </w:p>
    <w:p w14:paraId="6AA1E6F1">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A2FB0"/>
    <w:multiLevelType w:val="multilevel"/>
    <w:tmpl w:val="067A2F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4C7575F"/>
    <w:multiLevelType w:val="multilevel"/>
    <w:tmpl w:val="14C757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7984C4B"/>
    <w:multiLevelType w:val="multilevel"/>
    <w:tmpl w:val="17984C4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1E86D10"/>
    <w:multiLevelType w:val="multilevel"/>
    <w:tmpl w:val="21E86D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3AD3AA0"/>
    <w:multiLevelType w:val="multilevel"/>
    <w:tmpl w:val="33AD3A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831389E"/>
    <w:multiLevelType w:val="multilevel"/>
    <w:tmpl w:val="483138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2C27C2D"/>
    <w:multiLevelType w:val="multilevel"/>
    <w:tmpl w:val="62C27C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E9"/>
    <w:rsid w:val="001D42D2"/>
    <w:rsid w:val="00476BDC"/>
    <w:rsid w:val="00667371"/>
    <w:rsid w:val="009F5DE9"/>
    <w:rsid w:val="00D8677B"/>
    <w:rsid w:val="354E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Hyperlink"/>
    <w:basedOn w:val="14"/>
    <w:unhideWhenUsed/>
    <w:uiPriority w:val="99"/>
    <w:rPr>
      <w:color w:val="0563C1" w:themeColor="hyperlink"/>
      <w:u w:val="single"/>
      <w14:textFill>
        <w14:solidFill>
          <w14:schemeClr w14:val="hlink"/>
        </w14:solidFill>
      </w14:textFill>
    </w:rPr>
  </w:style>
  <w:style w:type="character" w:customStyle="1" w:styleId="16">
    <w:name w:val="标题 1 字符"/>
    <w:basedOn w:val="14"/>
    <w:link w:val="2"/>
    <w:uiPriority w:val="9"/>
    <w:rPr>
      <w:rFonts w:asciiTheme="majorHAnsi" w:hAnsiTheme="majorHAnsi" w:eastAsiaTheme="majorEastAsia" w:cstheme="majorBidi"/>
      <w:color w:val="2E75B6" w:themeColor="accent1" w:themeShade="BF"/>
      <w:sz w:val="48"/>
      <w:szCs w:val="48"/>
    </w:rPr>
  </w:style>
  <w:style w:type="character" w:customStyle="1" w:styleId="17">
    <w:name w:val="标题 2 字符"/>
    <w:basedOn w:val="14"/>
    <w:link w:val="3"/>
    <w:semiHidden/>
    <w:uiPriority w:val="9"/>
    <w:rPr>
      <w:rFonts w:asciiTheme="majorHAnsi" w:hAnsiTheme="majorHAnsi" w:eastAsiaTheme="majorEastAsia" w:cstheme="majorBidi"/>
      <w:color w:val="2E75B6" w:themeColor="accent1" w:themeShade="BF"/>
      <w:sz w:val="40"/>
      <w:szCs w:val="40"/>
    </w:rPr>
  </w:style>
  <w:style w:type="character" w:customStyle="1" w:styleId="18">
    <w:name w:val="标题 3 字符"/>
    <w:basedOn w:val="14"/>
    <w:link w:val="4"/>
    <w:semiHidden/>
    <w:uiPriority w:val="9"/>
    <w:rPr>
      <w:rFonts w:asciiTheme="majorHAnsi" w:hAnsiTheme="majorHAnsi" w:eastAsiaTheme="majorEastAsia" w:cstheme="majorBidi"/>
      <w:color w:val="2E75B6" w:themeColor="accent1" w:themeShade="BF"/>
      <w:sz w:val="32"/>
      <w:szCs w:val="32"/>
    </w:rPr>
  </w:style>
  <w:style w:type="character" w:customStyle="1" w:styleId="19">
    <w:name w:val="标题 4 字符"/>
    <w:basedOn w:val="14"/>
    <w:link w:val="5"/>
    <w:semiHidden/>
    <w:uiPriority w:val="9"/>
    <w:rPr>
      <w:rFonts w:cstheme="majorBidi"/>
      <w:color w:val="2E75B6" w:themeColor="accent1" w:themeShade="BF"/>
      <w:sz w:val="28"/>
      <w:szCs w:val="28"/>
    </w:rPr>
  </w:style>
  <w:style w:type="character" w:customStyle="1" w:styleId="20">
    <w:name w:val="标题 5 字符"/>
    <w:basedOn w:val="14"/>
    <w:link w:val="6"/>
    <w:semiHidden/>
    <w:uiPriority w:val="9"/>
    <w:rPr>
      <w:rFonts w:cstheme="majorBidi"/>
      <w:color w:val="2E75B6" w:themeColor="accent1" w:themeShade="BF"/>
      <w:sz w:val="24"/>
      <w:szCs w:val="24"/>
    </w:rPr>
  </w:style>
  <w:style w:type="character" w:customStyle="1" w:styleId="21">
    <w:name w:val="标题 6 字符"/>
    <w:basedOn w:val="14"/>
    <w:link w:val="7"/>
    <w:semiHidden/>
    <w:uiPriority w:val="9"/>
    <w:rPr>
      <w:rFonts w:cstheme="majorBidi"/>
      <w:b/>
      <w:bCs/>
      <w:color w:val="2E75B6" w:themeColor="accent1" w:themeShade="BF"/>
    </w:rPr>
  </w:style>
  <w:style w:type="character" w:customStyle="1" w:styleId="22">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2E75B6" w:themeColor="accent1" w:themeShade="BF"/>
    </w:rPr>
  </w:style>
  <w:style w:type="paragraph" w:styleId="31">
    <w:name w:val="Intense Quote"/>
    <w:basedOn w:val="1"/>
    <w:next w:val="1"/>
    <w:link w:val="32"/>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2">
    <w:name w:val="明显引用 字符"/>
    <w:basedOn w:val="14"/>
    <w:link w:val="31"/>
    <w:uiPriority w:val="30"/>
    <w:rPr>
      <w:i/>
      <w:iCs/>
      <w:color w:val="2E75B6" w:themeColor="accent1" w:themeShade="BF"/>
    </w:rPr>
  </w:style>
  <w:style w:type="character" w:customStyle="1" w:styleId="33">
    <w:name w:val="Intense Reference"/>
    <w:basedOn w:val="14"/>
    <w:qFormat/>
    <w:uiPriority w:val="32"/>
    <w:rPr>
      <w:b/>
      <w:bCs/>
      <w:smallCaps/>
      <w:color w:val="2E75B6" w:themeColor="accent1" w:themeShade="BF"/>
      <w:spacing w:val="5"/>
    </w:rPr>
  </w:style>
  <w:style w:type="character" w:customStyle="1" w:styleId="34">
    <w:name w:val="Unresolved Mention"/>
    <w:basedOn w:val="1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271</Words>
  <Characters>1612</Characters>
  <Lines>13</Lines>
  <Paragraphs>3</Paragraphs>
  <TotalTime>4</TotalTime>
  <ScaleCrop>false</ScaleCrop>
  <LinksUpToDate>false</LinksUpToDate>
  <CharactersWithSpaces>1843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2025-08-16T08:52:00Z</dcterms:created>
  <dc:creator>辉 方</dc:creator>
  <cp:lastModifiedBy>Lynn</cp:lastModifiedBy>
  <dcterms:modified xsi:type="dcterms:W3CDTF">2025-09-15T05:58:44Z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90EB33B06284425EAF9A68D2E8E3B46B_13</vt:lpwstr>
  </property>
</Properties>
</file>