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 "/>
      </w:tblPr>
      <w:tblGrid>
        <w:gridCol w:w="5400"/>
        <w:gridCol w:w="3960"/>
      </w:tblGrid>
      <w:tr w:rsidR="005D187A" w:rsidRPr="005D187A" w14:paraId="2C972AB6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2916F1E" w14:textId="77777777" w:rsidR="005D187A" w:rsidRPr="005D187A" w:rsidRDefault="005D187A" w:rsidP="00A56124">
            <w:pPr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5D187A">
              <w:rPr>
                <w:rFonts w:ascii="Roboto" w:hAnsi="Roboto"/>
                <w:b/>
                <w:bCs/>
                <w:sz w:val="32"/>
                <w:szCs w:val="32"/>
              </w:rPr>
              <w:t>Conditions or Nearby Activities:</w:t>
            </w:r>
          </w:p>
        </w:tc>
        <w:tc>
          <w:tcPr>
            <w:tcW w:w="3915" w:type="dxa"/>
            <w:vAlign w:val="center"/>
            <w:hideMark/>
          </w:tcPr>
          <w:p w14:paraId="5060CCA1" w14:textId="77777777" w:rsidR="005D187A" w:rsidRPr="005D187A" w:rsidRDefault="005D187A" w:rsidP="00A56124">
            <w:pPr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5D187A">
              <w:rPr>
                <w:rFonts w:ascii="Roboto" w:hAnsi="Roboto"/>
                <w:b/>
                <w:bCs/>
                <w:sz w:val="32"/>
                <w:szCs w:val="32"/>
              </w:rPr>
              <w:t>Test for:</w:t>
            </w:r>
          </w:p>
        </w:tc>
      </w:tr>
      <w:tr w:rsidR="005D187A" w:rsidRPr="005D187A" w14:paraId="16E38265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E4E4303" w14:textId="6C552A41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Recurring gastro-intestinal illness</w:t>
            </w:r>
          </w:p>
        </w:tc>
        <w:tc>
          <w:tcPr>
            <w:tcW w:w="3915" w:type="dxa"/>
            <w:vAlign w:val="center"/>
            <w:hideMark/>
          </w:tcPr>
          <w:p w14:paraId="5B6D9B16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Coliform bacteria, e-coli</w:t>
            </w:r>
          </w:p>
        </w:tc>
      </w:tr>
      <w:tr w:rsidR="005D187A" w:rsidRPr="005D187A" w14:paraId="1868A077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10E29A5" w14:textId="17CC1CFF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Abandoned/Orphaned oil &amp; gas wells</w:t>
            </w:r>
          </w:p>
        </w:tc>
        <w:tc>
          <w:tcPr>
            <w:tcW w:w="3915" w:type="dxa"/>
            <w:vAlign w:val="center"/>
            <w:hideMark/>
          </w:tcPr>
          <w:p w14:paraId="07606753" w14:textId="7D26D0AF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Methane, hydrogen sulfide</w:t>
            </w:r>
          </w:p>
        </w:tc>
      </w:tr>
      <w:tr w:rsidR="005D187A" w:rsidRPr="005D187A" w14:paraId="2B4B5D01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00E0A962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Radon in indoor air or region is radon rich</w:t>
            </w:r>
          </w:p>
        </w:tc>
        <w:tc>
          <w:tcPr>
            <w:tcW w:w="3915" w:type="dxa"/>
            <w:vAlign w:val="center"/>
            <w:hideMark/>
          </w:tcPr>
          <w:p w14:paraId="45CED843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Radon</w:t>
            </w:r>
          </w:p>
        </w:tc>
      </w:tr>
      <w:tr w:rsidR="005D187A" w:rsidRPr="005D187A" w14:paraId="3CF0B400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053BCC6E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Corrosion of pipes, plumbing</w:t>
            </w:r>
          </w:p>
        </w:tc>
        <w:tc>
          <w:tcPr>
            <w:tcW w:w="3915" w:type="dxa"/>
            <w:vAlign w:val="center"/>
            <w:hideMark/>
          </w:tcPr>
          <w:p w14:paraId="621E3C00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pH, lead, copper</w:t>
            </w:r>
          </w:p>
        </w:tc>
      </w:tr>
      <w:tr w:rsidR="005D187A" w:rsidRPr="005D187A" w14:paraId="3BFCA746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9364255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Nearby areas of intensive agriculture</w:t>
            </w:r>
          </w:p>
        </w:tc>
        <w:tc>
          <w:tcPr>
            <w:tcW w:w="3915" w:type="dxa"/>
            <w:vAlign w:val="center"/>
            <w:hideMark/>
          </w:tcPr>
          <w:p w14:paraId="319BAB05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proofErr w:type="gramStart"/>
            <w:r w:rsidRPr="005D187A">
              <w:rPr>
                <w:rFonts w:ascii="Roboto" w:hAnsi="Roboto"/>
                <w:sz w:val="28"/>
                <w:szCs w:val="28"/>
              </w:rPr>
              <w:t>Nitrate</w:t>
            </w:r>
            <w:proofErr w:type="gramEnd"/>
            <w:r w:rsidRPr="005D187A">
              <w:rPr>
                <w:rFonts w:ascii="Roboto" w:hAnsi="Roboto"/>
                <w:sz w:val="28"/>
                <w:szCs w:val="28"/>
              </w:rPr>
              <w:t>, pesticides, arsenic, coliform bacteria</w:t>
            </w:r>
          </w:p>
        </w:tc>
      </w:tr>
      <w:tr w:rsidR="005D187A" w:rsidRPr="005D187A" w14:paraId="07AF67D8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6A9F4B4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Coal or other mining operations nearby</w:t>
            </w:r>
          </w:p>
        </w:tc>
        <w:tc>
          <w:tcPr>
            <w:tcW w:w="3915" w:type="dxa"/>
            <w:vAlign w:val="center"/>
            <w:hideMark/>
          </w:tcPr>
          <w:p w14:paraId="211D9A26" w14:textId="68046B5E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Metals, pH, total dissolved solids</w:t>
            </w:r>
            <w:r w:rsidRPr="005D187A">
              <w:rPr>
                <w:rFonts w:ascii="Roboto" w:hAnsi="Roboto"/>
                <w:sz w:val="28"/>
                <w:szCs w:val="28"/>
              </w:rPr>
              <w:t>, methane</w:t>
            </w:r>
          </w:p>
        </w:tc>
      </w:tr>
      <w:tr w:rsidR="005D187A" w:rsidRPr="005D187A" w14:paraId="22036CF8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F2F7A3F" w14:textId="491E254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Oil/</w:t>
            </w: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Gas drilling operations nearby</w:t>
            </w:r>
          </w:p>
        </w:tc>
        <w:tc>
          <w:tcPr>
            <w:tcW w:w="3915" w:type="dxa"/>
            <w:vAlign w:val="center"/>
            <w:hideMark/>
          </w:tcPr>
          <w:p w14:paraId="0B71A63F" w14:textId="42CECC84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Sodium, chloride, barium</w:t>
            </w:r>
            <w:r w:rsidRPr="005D187A">
              <w:rPr>
                <w:rFonts w:ascii="Roboto" w:hAnsi="Roboto"/>
                <w:sz w:val="28"/>
                <w:szCs w:val="28"/>
              </w:rPr>
              <w:t xml:space="preserve">, </w:t>
            </w: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methane</w:t>
            </w:r>
            <w:r w:rsidRPr="005D187A">
              <w:rPr>
                <w:rFonts w:ascii="Roboto" w:hAnsi="Roboto"/>
                <w:sz w:val="28"/>
                <w:szCs w:val="28"/>
              </w:rPr>
              <w:t xml:space="preserve">, </w:t>
            </w: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hydrogen sulfide</w:t>
            </w:r>
          </w:p>
        </w:tc>
      </w:tr>
      <w:tr w:rsidR="005D187A" w:rsidRPr="005D187A" w14:paraId="62C790E4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87834C4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Dump, junkyard, landfill, factory, gas station, or dry-cleaning operation nearby</w:t>
            </w:r>
          </w:p>
        </w:tc>
        <w:tc>
          <w:tcPr>
            <w:tcW w:w="3915" w:type="dxa"/>
            <w:vAlign w:val="center"/>
            <w:hideMark/>
          </w:tcPr>
          <w:p w14:paraId="368D38C4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Volatile organic compounds, total dissolved solids, pH, sulfate, chloride, metals</w:t>
            </w:r>
          </w:p>
        </w:tc>
      </w:tr>
      <w:tr w:rsidR="005D187A" w:rsidRPr="005D187A" w14:paraId="36DC0869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1D0E64EE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Odor of gasoline or fuel oil, and near gas station or buried fuel tanks</w:t>
            </w:r>
          </w:p>
        </w:tc>
        <w:tc>
          <w:tcPr>
            <w:tcW w:w="3915" w:type="dxa"/>
            <w:vAlign w:val="center"/>
            <w:hideMark/>
          </w:tcPr>
          <w:p w14:paraId="4C42B9BB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Volatile organic compounds</w:t>
            </w:r>
          </w:p>
        </w:tc>
      </w:tr>
      <w:tr w:rsidR="005D187A" w:rsidRPr="005D187A" w14:paraId="1FB6A203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23B76F1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Objectionable taste or smell</w:t>
            </w:r>
          </w:p>
        </w:tc>
        <w:tc>
          <w:tcPr>
            <w:tcW w:w="3915" w:type="dxa"/>
            <w:vAlign w:val="center"/>
            <w:hideMark/>
          </w:tcPr>
          <w:p w14:paraId="2E4ECA60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Hydrogen sulfide, pH, metals</w:t>
            </w:r>
          </w:p>
        </w:tc>
      </w:tr>
      <w:tr w:rsidR="005D187A" w:rsidRPr="005D187A" w14:paraId="16B01619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3C721E76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Stained plumbing fixtures, toilet tanks or laundry</w:t>
            </w:r>
          </w:p>
        </w:tc>
        <w:tc>
          <w:tcPr>
            <w:tcW w:w="3915" w:type="dxa"/>
            <w:vAlign w:val="center"/>
            <w:hideMark/>
          </w:tcPr>
          <w:p w14:paraId="010778C0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Iron, copper, manganese, hardness</w:t>
            </w:r>
          </w:p>
        </w:tc>
      </w:tr>
      <w:tr w:rsidR="005D187A" w:rsidRPr="005D187A" w14:paraId="17FA7B1A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C4C8755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Salty taste and seawater, or a heavily salted roadway nearby</w:t>
            </w:r>
          </w:p>
        </w:tc>
        <w:tc>
          <w:tcPr>
            <w:tcW w:w="3915" w:type="dxa"/>
            <w:vAlign w:val="center"/>
            <w:hideMark/>
          </w:tcPr>
          <w:p w14:paraId="1EF0D3CF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Sodium, chloride, total dissolved solids</w:t>
            </w:r>
          </w:p>
        </w:tc>
      </w:tr>
      <w:tr w:rsidR="005D187A" w:rsidRPr="005D187A" w14:paraId="1781EC45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7F51522F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Scaly residues, soaps don't lather</w:t>
            </w:r>
          </w:p>
        </w:tc>
        <w:tc>
          <w:tcPr>
            <w:tcW w:w="3915" w:type="dxa"/>
            <w:vAlign w:val="center"/>
            <w:hideMark/>
          </w:tcPr>
          <w:p w14:paraId="6DCAC8B0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Hardness, chloride, sodium</w:t>
            </w:r>
          </w:p>
        </w:tc>
      </w:tr>
      <w:tr w:rsidR="005D187A" w:rsidRPr="005D187A" w14:paraId="6B2162EA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6E51CEEE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Rapid wear of water treatment equipment</w:t>
            </w:r>
          </w:p>
        </w:tc>
        <w:tc>
          <w:tcPr>
            <w:tcW w:w="3915" w:type="dxa"/>
            <w:vAlign w:val="center"/>
            <w:hideMark/>
          </w:tcPr>
          <w:p w14:paraId="537C85AF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  <w:highlight w:val="yellow"/>
              </w:rPr>
            </w:pPr>
            <w:r w:rsidRPr="005D187A">
              <w:rPr>
                <w:rFonts w:ascii="Roboto" w:hAnsi="Roboto"/>
                <w:sz w:val="28"/>
                <w:szCs w:val="28"/>
                <w:highlight w:val="yellow"/>
              </w:rPr>
              <w:t>pH, iron, manganese, hardness</w:t>
            </w:r>
          </w:p>
        </w:tc>
      </w:tr>
      <w:tr w:rsidR="005D187A" w:rsidRPr="005D187A" w14:paraId="7DB47D6E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40A8104C" w14:textId="2489027E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Water softener needed to treat hardness</w:t>
            </w:r>
          </w:p>
          <w:p w14:paraId="7ADC8AC3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  <w:hideMark/>
          </w:tcPr>
          <w:p w14:paraId="79C4606F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Hardness, manganese, iron</w:t>
            </w:r>
          </w:p>
        </w:tc>
      </w:tr>
      <w:tr w:rsidR="005D187A" w:rsidRPr="005D187A" w14:paraId="47F63C36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103CCF96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lastRenderedPageBreak/>
              <w:t>Water appears cloudy, frothy, or colored</w:t>
            </w:r>
          </w:p>
        </w:tc>
        <w:tc>
          <w:tcPr>
            <w:tcW w:w="3915" w:type="dxa"/>
            <w:vAlign w:val="center"/>
            <w:hideMark/>
          </w:tcPr>
          <w:p w14:paraId="07F47341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Color, detergents, turbidity, total dissolved solids</w:t>
            </w:r>
          </w:p>
        </w:tc>
      </w:tr>
      <w:tr w:rsidR="005D187A" w:rsidRPr="005D187A" w14:paraId="1E288734" w14:textId="77777777" w:rsidTr="00A56124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4C70B4EA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Reddish-brown films on fixtures or toilet tanks</w:t>
            </w:r>
          </w:p>
        </w:tc>
        <w:tc>
          <w:tcPr>
            <w:tcW w:w="3915" w:type="dxa"/>
            <w:vAlign w:val="center"/>
            <w:hideMark/>
          </w:tcPr>
          <w:p w14:paraId="1AD951EC" w14:textId="77777777" w:rsidR="005D187A" w:rsidRPr="005D187A" w:rsidRDefault="005D187A" w:rsidP="00A56124">
            <w:pPr>
              <w:rPr>
                <w:rFonts w:ascii="Roboto" w:hAnsi="Roboto"/>
                <w:sz w:val="28"/>
                <w:szCs w:val="28"/>
              </w:rPr>
            </w:pPr>
            <w:r w:rsidRPr="005D187A">
              <w:rPr>
                <w:rFonts w:ascii="Roboto" w:hAnsi="Roboto"/>
                <w:sz w:val="28"/>
                <w:szCs w:val="28"/>
              </w:rPr>
              <w:t>Iron bacteria, iron, manganese</w:t>
            </w:r>
          </w:p>
        </w:tc>
      </w:tr>
    </w:tbl>
    <w:p w14:paraId="13D79FC6" w14:textId="77777777" w:rsidR="005D187A" w:rsidRPr="005D187A" w:rsidRDefault="005D187A" w:rsidP="005D187A">
      <w:pPr>
        <w:rPr>
          <w:rFonts w:ascii="Roboto" w:hAnsi="Roboto"/>
          <w:sz w:val="28"/>
          <w:szCs w:val="28"/>
        </w:rPr>
      </w:pPr>
    </w:p>
    <w:p w14:paraId="3EF7DEB7" w14:textId="77777777" w:rsidR="00A56AF4" w:rsidRPr="005D187A" w:rsidRDefault="00A56AF4">
      <w:pPr>
        <w:rPr>
          <w:rFonts w:ascii="Roboto" w:hAnsi="Roboto"/>
          <w:sz w:val="28"/>
          <w:szCs w:val="28"/>
        </w:rPr>
      </w:pPr>
    </w:p>
    <w:sectPr w:rsidR="00A56AF4" w:rsidRPr="005D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ytona">
    <w:altName w:val="Calibri"/>
    <w:charset w:val="00"/>
    <w:family w:val="swiss"/>
    <w:pitch w:val="variable"/>
    <w:sig w:usb0="A00002EF" w:usb1="0000000A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7A"/>
    <w:rsid w:val="005D187A"/>
    <w:rsid w:val="007379BC"/>
    <w:rsid w:val="00A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109"/>
  <w15:chartTrackingRefBased/>
  <w15:docId w15:val="{15DE6193-08F8-4537-80F8-38998487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ytona" w:eastAsiaTheme="minorHAnsi" w:hAnsi="Dayto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7A"/>
  </w:style>
  <w:style w:type="paragraph" w:styleId="Heading1">
    <w:name w:val="heading 1"/>
    <w:basedOn w:val="Normal"/>
    <w:next w:val="Normal"/>
    <w:link w:val="Heading1Char"/>
    <w:uiPriority w:val="9"/>
    <w:qFormat/>
    <w:rsid w:val="005D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8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8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8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8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8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8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8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8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8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8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8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8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8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Investments</dc:creator>
  <cp:keywords/>
  <dc:description/>
  <cp:lastModifiedBy>Ram Investments</cp:lastModifiedBy>
  <cp:revision>1</cp:revision>
  <dcterms:created xsi:type="dcterms:W3CDTF">2025-09-15T15:10:00Z</dcterms:created>
  <dcterms:modified xsi:type="dcterms:W3CDTF">2025-09-15T15:29:00Z</dcterms:modified>
</cp:coreProperties>
</file>