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electrifi-conductive-pellets"/>
    <w:p>
      <w:pPr>
        <w:pStyle w:val="Heading1"/>
      </w:pPr>
      <w:r>
        <w:t xml:space="preserve">Electrifi Conductive Pellets</w:t>
      </w:r>
    </w:p>
    <w:bookmarkStart w:id="20" w:name="recommended-processing-parameters"/>
    <w:p>
      <w:pPr>
        <w:pStyle w:val="Heading2"/>
      </w:pPr>
      <w:r>
        <w:t xml:space="preserve">Recommended Processing Parameters</w:t>
      </w:r>
    </w:p>
    <w:p>
      <w:pPr>
        <w:pStyle w:val="BlockText"/>
      </w:pPr>
      <w:r>
        <w:rPr>
          <w:i/>
          <w:iCs/>
        </w:rPr>
        <w:t xml:space="preserve">Electrifi Conductive Pellets are a soft, highly conductive copper–polymer composite intended for pellet-fed additive manufacturing, filament extrusion, and injection molding. These parameters emphasize electrical performance, material stability, and process robustness rather than maximum throughput.</w:t>
      </w:r>
    </w:p>
    <w:p>
      <w:r>
        <w:pict>
          <v:rect style="width:0;height:1.5pt" o:hralign="center" o:hrstd="t" o:hr="t"/>
        </w:pict>
      </w:r>
    </w:p>
    <w:bookmarkEnd w:id="20"/>
    <w:bookmarkStart w:id="23" w:name="X509b3dbe2a2c066228736dc1d486e6eb98aef79"/>
    <w:p>
      <w:pPr>
        <w:pStyle w:val="Heading2"/>
      </w:pPr>
      <w:r>
        <w:t xml:space="preserve">1. Equipment &amp; Hardware Configuration (Critical)</w:t>
      </w:r>
    </w:p>
    <w:bookmarkStart w:id="21" w:name="pellet-fed-3d-printing"/>
    <w:p>
      <w:pPr>
        <w:pStyle w:val="Heading3"/>
      </w:pPr>
      <w:r>
        <w:t xml:space="preserve">Pellet-Fed 3D Printing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Extruder type:</w:t>
      </w:r>
    </w:p>
    <w:p>
      <w:pPr>
        <w:pStyle w:val="Compact"/>
        <w:numPr>
          <w:ilvl w:val="1"/>
          <w:numId w:val="1002"/>
        </w:numPr>
      </w:pPr>
      <w:r>
        <w:t xml:space="preserve">Single-screw or twin-screw pellet extruder</w:t>
      </w:r>
    </w:p>
    <w:p>
      <w:pPr>
        <w:pStyle w:val="Compact"/>
        <w:numPr>
          <w:ilvl w:val="1"/>
          <w:numId w:val="1002"/>
        </w:numPr>
      </w:pPr>
      <w:r>
        <w:t xml:space="preserve">Short melt zone preferred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Screw design:</w:t>
      </w:r>
    </w:p>
    <w:p>
      <w:pPr>
        <w:pStyle w:val="Compact"/>
        <w:numPr>
          <w:ilvl w:val="1"/>
          <w:numId w:val="1003"/>
        </w:numPr>
      </w:pPr>
      <w:r>
        <w:t xml:space="preserve">Low-compression screw recommended (compression ratio ~1.5–2.0:1)</w:t>
      </w:r>
    </w:p>
    <w:p>
      <w:pPr>
        <w:pStyle w:val="Compact"/>
        <w:numPr>
          <w:ilvl w:val="1"/>
          <w:numId w:val="1003"/>
        </w:numPr>
      </w:pPr>
      <w:r>
        <w:t xml:space="preserve">Avoid aggressive mixing sections that induce high shear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Nozzle:</w:t>
      </w:r>
    </w:p>
    <w:p>
      <w:pPr>
        <w:pStyle w:val="Compact"/>
        <w:numPr>
          <w:ilvl w:val="1"/>
          <w:numId w:val="1004"/>
        </w:numPr>
      </w:pPr>
      <w:r>
        <w:t xml:space="preserve">Hardened steel recommended for wear resistance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Minimum diameter:</w:t>
      </w:r>
      <w:r>
        <w:t xml:space="preserve"> </w:t>
      </w:r>
      <w:r>
        <w:t xml:space="preserve">0.6 mm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Preferred diameter:</w:t>
      </w:r>
      <w:r>
        <w:t xml:space="preserve"> </w:t>
      </w:r>
      <w:r>
        <w:t xml:space="preserve">≥ 0.8 mm</w:t>
      </w:r>
    </w:p>
    <w:bookmarkEnd w:id="21"/>
    <w:bookmarkStart w:id="22" w:name="injection-molding-filament-extrusion"/>
    <w:p>
      <w:pPr>
        <w:pStyle w:val="Heading3"/>
      </w:pPr>
      <w:r>
        <w:t xml:space="preserve">Injection Molding / Filament Extrusion</w:t>
      </w:r>
    </w:p>
    <w:p>
      <w:pPr>
        <w:pStyle w:val="Compact"/>
        <w:numPr>
          <w:ilvl w:val="0"/>
          <w:numId w:val="1005"/>
        </w:numPr>
      </w:pPr>
      <w:r>
        <w:t xml:space="preserve">Low-shear screws and runners preferred</w:t>
      </w:r>
    </w:p>
    <w:p>
      <w:pPr>
        <w:pStyle w:val="Compact"/>
        <w:numPr>
          <w:ilvl w:val="0"/>
          <w:numId w:val="1005"/>
        </w:numPr>
      </w:pPr>
      <w:r>
        <w:t xml:space="preserve">Avoid long residence times and dead zones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temperature-settings"/>
    <w:p>
      <w:pPr>
        <w:pStyle w:val="Heading2"/>
      </w:pPr>
      <w:r>
        <w:t xml:space="preserve">2. Temperature Settings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Zone / Parameter</w:t>
            </w:r>
          </w:p>
        </w:tc>
        <w:tc>
          <w:tcPr/>
          <w:p>
            <w:pPr>
              <w:pStyle w:val="Compact"/>
            </w:pPr>
            <w:r>
              <w:t xml:space="preserve">Recommended 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 / rear zone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100–130 °C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Melt / mid zone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130–160 °C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Front / nozzle zone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150–190 °C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Mold temperature (IM)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25–50 °C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 plate (pellet AM)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≤ 50 °C</w:t>
            </w:r>
          </w:p>
        </w:tc>
      </w:tr>
    </w:tbl>
    <w:p>
      <w:pPr>
        <w:pStyle w:val="BodyText"/>
      </w:pPr>
      <w:r>
        <w:rPr>
          <w:b/>
          <w:bCs/>
        </w:rPr>
        <w:t xml:space="preserve">Notes:</w:t>
      </w:r>
    </w:p>
    <w:p>
      <w:pPr>
        <w:pStyle w:val="Compact"/>
        <w:numPr>
          <w:ilvl w:val="0"/>
          <w:numId w:val="1006"/>
        </w:numPr>
      </w:pPr>
      <w:r>
        <w:t xml:space="preserve">Use the</w:t>
      </w:r>
      <w:r>
        <w:t xml:space="preserve"> </w:t>
      </w:r>
      <w:r>
        <w:rPr>
          <w:b/>
          <w:bCs/>
        </w:rPr>
        <w:t xml:space="preserve">lowest temperature that provides stable flow</w:t>
      </w:r>
    </w:p>
    <w:p>
      <w:pPr>
        <w:pStyle w:val="Compact"/>
        <w:numPr>
          <w:ilvl w:val="0"/>
          <w:numId w:val="1006"/>
        </w:numPr>
      </w:pPr>
      <w:r>
        <w:t xml:space="preserve">Avoid prolonged soak at elevated temperature</w:t>
      </w:r>
    </w:p>
    <w:p>
      <w:pPr>
        <w:pStyle w:val="Compact"/>
        <w:numPr>
          <w:ilvl w:val="0"/>
          <w:numId w:val="1006"/>
        </w:numPr>
      </w:pPr>
      <w:r>
        <w:t xml:space="preserve">Temperature uniformity is preferred over peak temperature</w:t>
      </w:r>
    </w:p>
    <w:p>
      <w:r>
        <w:pict>
          <v:rect style="width:0;height:1.5pt" o:hralign="center" o:hrstd="t" o:hr="t"/>
        </w:pict>
      </w:r>
    </w:p>
    <w:bookmarkEnd w:id="24"/>
    <w:bookmarkStart w:id="27" w:name="throughput-speed-pressure"/>
    <w:p>
      <w:pPr>
        <w:pStyle w:val="Heading2"/>
      </w:pPr>
      <w:r>
        <w:t xml:space="preserve">3. Throughput, Speed &amp; Pressure</w:t>
      </w:r>
    </w:p>
    <w:bookmarkStart w:id="25" w:name="pellet-based-additive-manufacturing"/>
    <w:p>
      <w:pPr>
        <w:pStyle w:val="Heading3"/>
      </w:pPr>
      <w:r>
        <w:t xml:space="preserve">Pellet-Based Additive Manufacturing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Parameter</w:t>
            </w:r>
          </w:p>
        </w:tc>
        <w:tc>
          <w:tcPr/>
          <w:p>
            <w:pPr>
              <w:pStyle w:val="Compact"/>
            </w:pPr>
            <w:r>
              <w:t xml:space="preserve">Recommended 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Extrusion rate</w:t>
            </w:r>
          </w:p>
        </w:tc>
        <w:tc>
          <w:tcPr/>
          <w:p>
            <w:pPr>
              <w:pStyle w:val="Compact"/>
            </w:pPr>
            <w:r>
              <w:t xml:space="preserve">Low to moderate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Print speed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5–25 mm/s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Layer deposition</w:t>
            </w:r>
          </w:p>
        </w:tc>
        <w:tc>
          <w:tcPr/>
          <w:p>
            <w:pPr>
              <w:pStyle w:val="Compact"/>
            </w:pPr>
            <w:r>
              <w:t xml:space="preserve">Continuous, non-pulsed</w:t>
            </w:r>
          </w:p>
        </w:tc>
      </w:tr>
    </w:tbl>
    <w:bookmarkEnd w:id="25"/>
    <w:bookmarkStart w:id="26" w:name="injection-molding"/>
    <w:p>
      <w:pPr>
        <w:pStyle w:val="Heading3"/>
      </w:pPr>
      <w:r>
        <w:t xml:space="preserve">Injection Molding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Injection speed:</w:t>
      </w:r>
      <w:r>
        <w:t xml:space="preserve"> </w:t>
      </w:r>
      <w:r>
        <w:t xml:space="preserve">Low to moderate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Injection pressure:</w:t>
      </w:r>
      <w:r>
        <w:t xml:space="preserve"> </w:t>
      </w:r>
      <w:r>
        <w:t xml:space="preserve">Sufficient for fill; avoid overpacking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Holding pressure:</w:t>
      </w:r>
      <w:r>
        <w:t xml:space="preserve"> </w:t>
      </w:r>
      <w:r>
        <w:t xml:space="preserve">Minimal; rely on geometry rather than pressure</w:t>
      </w:r>
    </w:p>
    <w:p>
      <w:pPr>
        <w:pStyle w:val="FirstParagraph"/>
      </w:pPr>
      <w:r>
        <w:rPr>
          <w:i/>
          <w:iCs/>
        </w:rPr>
        <w:t xml:space="preserve">Lower shear and pressure help preserve the conductive particle network.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residence-time-shear-control"/>
    <w:p>
      <w:pPr>
        <w:pStyle w:val="Heading2"/>
      </w:pPr>
      <w:r>
        <w:t xml:space="preserve">4. Residence Time &amp; Shear Control</w:t>
      </w:r>
    </w:p>
    <w:p>
      <w:pPr>
        <w:pStyle w:val="Compact"/>
        <w:numPr>
          <w:ilvl w:val="0"/>
          <w:numId w:val="1008"/>
        </w:numPr>
      </w:pPr>
      <w:r>
        <w:t xml:space="preserve">Minimize melt residence time in barrel and nozzle</w:t>
      </w:r>
    </w:p>
    <w:p>
      <w:pPr>
        <w:pStyle w:val="Compact"/>
        <w:numPr>
          <w:ilvl w:val="0"/>
          <w:numId w:val="1008"/>
        </w:numPr>
      </w:pPr>
      <w:r>
        <w:t xml:space="preserve">Avoid repeated re-melting cycles</w:t>
      </w:r>
    </w:p>
    <w:p>
      <w:pPr>
        <w:pStyle w:val="Compact"/>
        <w:numPr>
          <w:ilvl w:val="0"/>
          <w:numId w:val="1008"/>
        </w:numPr>
      </w:pPr>
      <w:r>
        <w:t xml:space="preserve">Use gentle screw speeds</w:t>
      </w:r>
    </w:p>
    <w:p>
      <w:pPr>
        <w:pStyle w:val="Compact"/>
        <w:numPr>
          <w:ilvl w:val="0"/>
          <w:numId w:val="1008"/>
        </w:numPr>
      </w:pPr>
      <w:r>
        <w:t xml:space="preserve">Purge promptly after processing</w:t>
      </w:r>
    </w:p>
    <w:p>
      <w:pPr>
        <w:pStyle w:val="FirstParagraph"/>
      </w:pPr>
      <w:r>
        <w:rPr>
          <w:i/>
          <w:iCs/>
        </w:rPr>
        <w:t xml:space="preserve">Excessive shear or long thermal exposure can degrade conductivity.</w:t>
      </w:r>
    </w:p>
    <w:p>
      <w:r>
        <w:pict>
          <v:rect style="width:0;height:1.5pt" o:hralign="center" o:hrstd="t" o:hr="t"/>
        </w:pict>
      </w:r>
    </w:p>
    <w:bookmarkEnd w:id="28"/>
    <w:bookmarkStart w:id="29" w:name="part-tooling-design-considerations"/>
    <w:p>
      <w:pPr>
        <w:pStyle w:val="Heading2"/>
      </w:pPr>
      <w:r>
        <w:t xml:space="preserve">5. Part &amp; Tooling Design Considerations</w:t>
      </w:r>
    </w:p>
    <w:p>
      <w:pPr>
        <w:pStyle w:val="Compact"/>
        <w:numPr>
          <w:ilvl w:val="0"/>
          <w:numId w:val="1009"/>
        </w:numPr>
      </w:pPr>
      <w:r>
        <w:t xml:space="preserve">Use</w:t>
      </w:r>
      <w:r>
        <w:t xml:space="preserve"> </w:t>
      </w:r>
      <w:r>
        <w:rPr>
          <w:b/>
          <w:bCs/>
        </w:rPr>
        <w:t xml:space="preserve">thicker sections</w:t>
      </w:r>
      <w:r>
        <w:t xml:space="preserve"> </w:t>
      </w:r>
      <w:r>
        <w:t xml:space="preserve">for current-carrying features</w:t>
      </w:r>
    </w:p>
    <w:p>
      <w:pPr>
        <w:pStyle w:val="Compact"/>
        <w:numPr>
          <w:ilvl w:val="0"/>
          <w:numId w:val="1009"/>
        </w:numPr>
      </w:pPr>
      <w:r>
        <w:t xml:space="preserve">Avoid sharp corners and thin gates</w:t>
      </w:r>
    </w:p>
    <w:p>
      <w:pPr>
        <w:pStyle w:val="Compact"/>
        <w:numPr>
          <w:ilvl w:val="0"/>
          <w:numId w:val="1009"/>
        </w:numPr>
      </w:pPr>
      <w:r>
        <w:t xml:space="preserve">Shorter flow paths improve electrical consistency</w:t>
      </w:r>
    </w:p>
    <w:p>
      <w:pPr>
        <w:pStyle w:val="Compact"/>
        <w:numPr>
          <w:ilvl w:val="0"/>
          <w:numId w:val="1009"/>
        </w:numPr>
      </w:pPr>
      <w:r>
        <w:t xml:space="preserve">In injection molding, gate location strongly affects conductivity</w:t>
      </w:r>
    </w:p>
    <w:p>
      <w:r>
        <w:pict>
          <v:rect style="width:0;height:1.5pt" o:hralign="center" o:hrstd="t" o:hr="t"/>
        </w:pict>
      </w:r>
    </w:p>
    <w:bookmarkEnd w:id="29"/>
    <w:bookmarkStart w:id="30" w:name="cooling-solidification"/>
    <w:p>
      <w:pPr>
        <w:pStyle w:val="Heading2"/>
      </w:pPr>
      <w:r>
        <w:t xml:space="preserve">6. Cooling &amp; Solidification</w:t>
      </w:r>
    </w:p>
    <w:p>
      <w:pPr>
        <w:pStyle w:val="Compact"/>
        <w:numPr>
          <w:ilvl w:val="0"/>
          <w:numId w:val="1010"/>
        </w:numPr>
      </w:pPr>
      <w:r>
        <w:t xml:space="preserve">Prefer</w:t>
      </w:r>
      <w:r>
        <w:t xml:space="preserve"> </w:t>
      </w:r>
      <w:r>
        <w:rPr>
          <w:b/>
          <w:bCs/>
        </w:rPr>
        <w:t xml:space="preserve">gradual, uniform cooling</w:t>
      </w:r>
    </w:p>
    <w:p>
      <w:pPr>
        <w:pStyle w:val="Compact"/>
        <w:numPr>
          <w:ilvl w:val="0"/>
          <w:numId w:val="1010"/>
        </w:numPr>
      </w:pPr>
      <w:r>
        <w:t xml:space="preserve">Avoid forced cooling that induces internal stress</w:t>
      </w:r>
    </w:p>
    <w:p>
      <w:pPr>
        <w:pStyle w:val="Compact"/>
        <w:numPr>
          <w:ilvl w:val="0"/>
          <w:numId w:val="1010"/>
        </w:numPr>
      </w:pPr>
      <w:r>
        <w:t xml:space="preserve">In molding, allow sufficient cooling before ejection to prevent deformation</w:t>
      </w:r>
    </w:p>
    <w:p>
      <w:r>
        <w:pict>
          <v:rect style="width:0;height:1.5pt" o:hralign="center" o:hrstd="t" o:hr="t"/>
        </w:pict>
      </w:r>
    </w:p>
    <w:bookmarkEnd w:id="30"/>
    <w:bookmarkStart w:id="31" w:name="material-handling-preparation"/>
    <w:p>
      <w:pPr>
        <w:pStyle w:val="Heading2"/>
      </w:pPr>
      <w:r>
        <w:t xml:space="preserve">7. Material Handling &amp; Preparation</w:t>
      </w:r>
    </w:p>
    <w:p>
      <w:pPr>
        <w:pStyle w:val="Compact"/>
        <w:numPr>
          <w:ilvl w:val="0"/>
          <w:numId w:val="1011"/>
        </w:numPr>
      </w:pPr>
      <w:r>
        <w:t xml:space="preserve">Drying is typically not required</w:t>
      </w:r>
    </w:p>
    <w:p>
      <w:pPr>
        <w:pStyle w:val="Compact"/>
        <w:numPr>
          <w:ilvl w:val="0"/>
          <w:numId w:val="1011"/>
        </w:numPr>
      </w:pPr>
      <w:r>
        <w:t xml:space="preserve">Store pellets in sealed containers in a dry environment</w:t>
      </w:r>
    </w:p>
    <w:p>
      <w:pPr>
        <w:pStyle w:val="Compact"/>
        <w:numPr>
          <w:ilvl w:val="0"/>
          <w:numId w:val="1011"/>
        </w:numPr>
      </w:pPr>
      <w:r>
        <w:t xml:space="preserve">Avoid contamination with other polymers or fillers</w:t>
      </w:r>
    </w:p>
    <w:p>
      <w:pPr>
        <w:pStyle w:val="Compact"/>
        <w:numPr>
          <w:ilvl w:val="0"/>
          <w:numId w:val="1011"/>
        </w:numPr>
      </w:pPr>
      <w:r>
        <w:t xml:space="preserve">Prevent pellet deformation under mechanical load at elevated temperature</w:t>
      </w:r>
    </w:p>
    <w:p>
      <w:r>
        <w:pict>
          <v:rect style="width:0;height:1.5pt" o:hralign="center" o:hrstd="t" o:hr="t"/>
        </w:pict>
      </w:r>
    </w:p>
    <w:bookmarkEnd w:id="31"/>
    <w:bookmarkStart w:id="32" w:name="recommended-applications"/>
    <w:p>
      <w:pPr>
        <w:pStyle w:val="Heading2"/>
      </w:pPr>
      <w:r>
        <w:t xml:space="preserve">8. Recommended Applications</w:t>
      </w:r>
    </w:p>
    <w:p>
      <w:pPr>
        <w:pStyle w:val="Compact"/>
        <w:numPr>
          <w:ilvl w:val="0"/>
          <w:numId w:val="1012"/>
        </w:numPr>
      </w:pPr>
      <w:r>
        <w:t xml:space="preserve">Pellet-extruded conductive structures</w:t>
      </w:r>
    </w:p>
    <w:p>
      <w:pPr>
        <w:pStyle w:val="Compact"/>
        <w:numPr>
          <w:ilvl w:val="0"/>
          <w:numId w:val="1012"/>
        </w:numPr>
      </w:pPr>
      <w:r>
        <w:t xml:space="preserve">Injection-molded conductive components</w:t>
      </w:r>
    </w:p>
    <w:p>
      <w:pPr>
        <w:pStyle w:val="Compact"/>
        <w:numPr>
          <w:ilvl w:val="0"/>
          <w:numId w:val="1012"/>
        </w:numPr>
      </w:pPr>
      <w:r>
        <w:t xml:space="preserve">Bus bars and grounding features</w:t>
      </w:r>
    </w:p>
    <w:p>
      <w:pPr>
        <w:pStyle w:val="Compact"/>
        <w:numPr>
          <w:ilvl w:val="0"/>
          <w:numId w:val="1012"/>
        </w:numPr>
      </w:pPr>
      <w:r>
        <w:t xml:space="preserve">Embedded heaters and thermal elements</w:t>
      </w:r>
    </w:p>
    <w:p>
      <w:pPr>
        <w:pStyle w:val="Compact"/>
        <w:numPr>
          <w:ilvl w:val="0"/>
          <w:numId w:val="1012"/>
        </w:numPr>
      </w:pPr>
      <w:r>
        <w:t xml:space="preserve">EMI shielding and structural electronics</w:t>
      </w:r>
    </w:p>
    <w:p>
      <w:pPr>
        <w:pStyle w:val="Compact"/>
        <w:numPr>
          <w:ilvl w:val="0"/>
          <w:numId w:val="1012"/>
        </w:numPr>
      </w:pPr>
      <w:r>
        <w:t xml:space="preserve">Feedstock for Electrifi filament production</w:t>
      </w:r>
    </w:p>
    <w:p>
      <w:r>
        <w:pict>
          <v:rect style="width:0;height:1.5pt" o:hralign="center" o:hrstd="t" o:hr="t"/>
        </w:pict>
      </w:r>
    </w:p>
    <w:bookmarkEnd w:id="32"/>
    <w:bookmarkStart w:id="33" w:name="practical-note"/>
    <w:p>
      <w:pPr>
        <w:pStyle w:val="Heading2"/>
      </w:pPr>
      <w:r>
        <w:t xml:space="preserve">9. Practical Note</w:t>
      </w:r>
    </w:p>
    <w:p>
      <w:pPr>
        <w:pStyle w:val="FirstParagraph"/>
      </w:pPr>
      <w:r>
        <w:t xml:space="preserve">Electrifi Conductive Pellets are best processed as a</w:t>
      </w:r>
      <w:r>
        <w:t xml:space="preserve"> </w:t>
      </w:r>
      <w:r>
        <w:rPr>
          <w:b/>
          <w:bCs/>
        </w:rPr>
        <w:t xml:space="preserve">functional conductive composite</w:t>
      </w:r>
      <w:r>
        <w:t xml:space="preserve">, not as a conventional commodity thermoplastic. Electrical performance is strongly influenced by</w:t>
      </w:r>
      <w:r>
        <w:t xml:space="preserve"> </w:t>
      </w:r>
      <w:r>
        <w:rPr>
          <w:b/>
          <w:bCs/>
        </w:rPr>
        <w:t xml:space="preserve">shear history, residence time, part geometry, and interface design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 application notes, screw design guidance, or process optimization support, please contact Multi3D, Inc.</w:t>
      </w:r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2026-01-18T16:18:20Z</dcterms:created>
  <dcterms:modified xsi:type="dcterms:W3CDTF">2026-01-18T16:18:20Z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