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4348" w14:textId="77777777" w:rsidR="00DE663A" w:rsidRPr="00DE663A" w:rsidRDefault="00DE663A" w:rsidP="00DE663A">
      <w:pPr>
        <w:ind w:left="360" w:firstLine="0"/>
        <w:jc w:val="center"/>
        <w:rPr>
          <w:rFonts w:asciiTheme="majorBidi" w:hAnsiTheme="majorBidi" w:cstheme="majorBidi"/>
          <w:b/>
          <w:bCs/>
          <w:sz w:val="48"/>
          <w:szCs w:val="48"/>
        </w:rPr>
      </w:pPr>
      <w:r w:rsidRPr="00DE663A">
        <w:rPr>
          <w:rFonts w:asciiTheme="majorBidi" w:hAnsiTheme="majorBidi" w:cstheme="majorBidi"/>
          <w:b/>
          <w:bCs/>
          <w:sz w:val="48"/>
          <w:szCs w:val="48"/>
        </w:rPr>
        <w:t>When Spices Were Medicine</w:t>
      </w:r>
    </w:p>
    <w:p w14:paraId="21C671F4" w14:textId="444A54D4" w:rsidR="00DE663A" w:rsidRPr="00DE663A" w:rsidRDefault="00DE663A" w:rsidP="00DE663A">
      <w:pPr>
        <w:ind w:left="360" w:firstLine="0"/>
        <w:jc w:val="center"/>
        <w:rPr>
          <w:rFonts w:asciiTheme="majorBidi" w:hAnsiTheme="majorBidi" w:cstheme="majorBidi"/>
          <w:b/>
          <w:bCs/>
          <w:sz w:val="48"/>
          <w:szCs w:val="48"/>
        </w:rPr>
      </w:pPr>
      <w:r w:rsidRPr="00DE663A">
        <w:rPr>
          <w:rFonts w:asciiTheme="majorBidi" w:hAnsiTheme="majorBidi" w:cstheme="majorBidi"/>
          <w:b/>
          <w:bCs/>
          <w:sz w:val="48"/>
          <w:szCs w:val="48"/>
        </w:rPr>
        <w:t>By Marc Silver</w:t>
      </w:r>
    </w:p>
    <w:p w14:paraId="1612879A"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b/>
          <w:bCs/>
          <w:sz w:val="40"/>
          <w:szCs w:val="40"/>
        </w:rPr>
        <w:t>How Flavor, Physiology, and Belief Became Entangled</w:t>
      </w:r>
    </w:p>
    <w:p w14:paraId="5FE8DB7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Recently, I’ve been paying closer attention to my own health, specifically memory and the persistent effects of diabetic neuropathy. That curiosity led me into a world of plant-based remedies, many of them rooted in the same spices that once defined medicine itself.</w:t>
      </w:r>
    </w:p>
    <w:p w14:paraId="03391B43"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As I approach my seventy-seventh year, this research is less about chasing cures than understanding limits. It’s a form of self-maintenance, and perhaps a modest effort to stay one step ahead of time rather than outrun it.</w:t>
      </w:r>
    </w:p>
    <w:p w14:paraId="40D78C7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Following that trail backward leads not to modern supplements or laboratory claims, but to a much older moment, when spices were treated not as flavor, but as instruments of health.</w:t>
      </w:r>
    </w:p>
    <w:p w14:paraId="2833A040"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 xml:space="preserve">In a medieval apothecary, spices were not handled casually. Nutmeg might be kept under lock. Cinnamon sticks lay bundled like valuables. Cloves were weighed carefully, their sharp scent lingering in the air long after the scale was cleared. Shelves were lined with jars labeled in Latin or Arabic, their contents measured not by </w:t>
      </w:r>
      <w:proofErr w:type="spellStart"/>
      <w:r w:rsidRPr="002C7296">
        <w:rPr>
          <w:rFonts w:asciiTheme="majorBidi" w:hAnsiTheme="majorBidi" w:cstheme="majorBidi"/>
          <w:sz w:val="40"/>
          <w:szCs w:val="40"/>
        </w:rPr>
        <w:t>spoonfuls</w:t>
      </w:r>
      <w:proofErr w:type="spellEnd"/>
      <w:r w:rsidRPr="002C7296">
        <w:rPr>
          <w:rFonts w:asciiTheme="majorBidi" w:hAnsiTheme="majorBidi" w:cstheme="majorBidi"/>
          <w:sz w:val="40"/>
          <w:szCs w:val="40"/>
        </w:rPr>
        <w:t xml:space="preserve"> but by judgment.</w:t>
      </w:r>
    </w:p>
    <w:p w14:paraId="5F976F8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These were not seasonings. They were tools.</w:t>
      </w:r>
    </w:p>
    <w:p w14:paraId="4F9E2AF7"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03308188">
          <v:rect id="_x0000_i1855" style="width:0;height:1.5pt" o:hralign="center" o:hrstd="t" o:hr="t" fillcolor="#a0a0a0" stroked="f"/>
        </w:pict>
      </w:r>
    </w:p>
    <w:p w14:paraId="01E323EB"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How the Body Was Once Understood</w:t>
      </w:r>
    </w:p>
    <w:p w14:paraId="01E5AE37"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Pre-modern medicine was not concerned with pathogens, molecules, or chemical pathways. It was concerned with balance.</w:t>
      </w:r>
    </w:p>
    <w:p w14:paraId="63591E2A"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In Europe, medical thinking rested on humoral theory. Health depended on the balance of blood, phlegm, yellow bile, and black bile. Foods and medicines were classified by qualities such as hot or cold, dry or moist. Illness was imbalance. Treatment meant correction.</w:t>
      </w:r>
    </w:p>
    <w:p w14:paraId="6CE72C3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 xml:space="preserve">Within that framework, spices made immediate sense. They were warming. They stimulated digestion. They flushed the skin, quickened the pulse, and provoked sweat. A physician might not understand </w:t>
      </w:r>
      <w:r w:rsidRPr="002C7296">
        <w:rPr>
          <w:rFonts w:asciiTheme="majorBidi" w:hAnsiTheme="majorBidi" w:cstheme="majorBidi"/>
          <w:i/>
          <w:iCs/>
          <w:sz w:val="40"/>
          <w:szCs w:val="40"/>
        </w:rPr>
        <w:t>why</w:t>
      </w:r>
      <w:r w:rsidRPr="002C7296">
        <w:rPr>
          <w:rFonts w:asciiTheme="majorBidi" w:hAnsiTheme="majorBidi" w:cstheme="majorBidi"/>
          <w:sz w:val="40"/>
          <w:szCs w:val="40"/>
        </w:rPr>
        <w:t xml:space="preserve"> a spice worked, but the effect was visible.</w:t>
      </w:r>
    </w:p>
    <w:p w14:paraId="7B97E89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That visibility carried authority.</w:t>
      </w:r>
    </w:p>
    <w:p w14:paraId="0DC29BB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Similar systems existed elsewhere. Islamic medicine treated spices as agents that influenced digestion and vitality. Asian traditions emphasized heat, energy flow, and the body’s response to stimulation. Different theories, similar conclusions.</w:t>
      </w:r>
    </w:p>
    <w:p w14:paraId="7DDD3BA8"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Across cultures, the logic converged. If a substance produced a strong bodily response in a small amount, it was assumed to have medicinal value.</w:t>
      </w:r>
    </w:p>
    <w:p w14:paraId="2B469D5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76E5F507">
          <v:rect id="_x0000_i1856" style="width:0;height:1.5pt" o:hralign="center" o:hrstd="t" o:hr="t" fillcolor="#a0a0a0" stroked="f"/>
        </w:pict>
      </w:r>
    </w:p>
    <w:p w14:paraId="4F0F99AE"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Taste as Signal</w:t>
      </w:r>
    </w:p>
    <w:p w14:paraId="24877816"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Taste itself was treated as information.</w:t>
      </w:r>
    </w:p>
    <w:p w14:paraId="7C16AF97"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Bitterness warned of danger but also suggested potency. Heat implied movement. Aroma signaled volatility, the ability to disperse through the body. These sensory cues mattered in a world without diagnostics.</w:t>
      </w:r>
    </w:p>
    <w:p w14:paraId="0D5B3EA0"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Humans learned to trust intensity.</w:t>
      </w:r>
    </w:p>
    <w:p w14:paraId="007E42E4"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This instinct was not irrational. Many pharmacologically active compounds taste bitter or pungent. The problem was not observation, but extrapolation. Sensation became meaning. Meaning became promise.</w:t>
      </w:r>
    </w:p>
    <w:p w14:paraId="06D8D23D"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Spices were trusted because they spoke loudly to the body.</w:t>
      </w:r>
    </w:p>
    <w:p w14:paraId="4706247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6EF5F757">
          <v:rect id="_x0000_i1857" style="width:0;height:1.5pt" o:hralign="center" o:hrstd="t" o:hr="t" fillcolor="#a0a0a0" stroked="f"/>
        </w:pict>
      </w:r>
    </w:p>
    <w:p w14:paraId="51B28279"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Nutmeg: Where Medicine Became Unsettling</w:t>
      </w:r>
    </w:p>
    <w:p w14:paraId="484440C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Nutmeg sat at the far edge of that trust.</w:t>
      </w:r>
    </w:p>
    <w:p w14:paraId="7D7731C4"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In small quantities, it was prescribed to aid digestion and calm the stomach. But historical sources also warned, cautiously, that it should be handled with care. Travelers noted its strange effects when taken too freely. Physicians observed that it could unsettle the mind as easily as the body.</w:t>
      </w:r>
    </w:p>
    <w:p w14:paraId="60BD33F9"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Modern chemistry explains why. Nutmeg contains compounds such as myristicin that affect the nervous system. In excessive amounts, it can cause hallucinations, anxiety, nausea, and cardiac symptoms. The effects are unpredictable and often unpleasant.</w:t>
      </w:r>
    </w:p>
    <w:p w14:paraId="557FB664"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Historically, that unpredictability enhanced its reputation. Altered perception suggested potency. If the mind shifted, something powerful must be happening.</w:t>
      </w:r>
    </w:p>
    <w:p w14:paraId="1F84F97D"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Nutmeg cured. Nutmeg disturbed. Sometimes both.</w:t>
      </w:r>
    </w:p>
    <w:p w14:paraId="4B63FE1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That ambiguity placed it at the strange boundary where medicine shades into risk.</w:t>
      </w:r>
    </w:p>
    <w:p w14:paraId="56185FD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6D1EC7CD">
          <v:rect id="_x0000_i1858" style="width:0;height:1.5pt" o:hralign="center" o:hrstd="t" o:hr="t" fillcolor="#a0a0a0" stroked="f"/>
        </w:pict>
      </w:r>
    </w:p>
    <w:p w14:paraId="0022D6D7"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Cloves: When Observation Held Up</w:t>
      </w:r>
    </w:p>
    <w:p w14:paraId="5398AE00"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Cloves tell a quieter story.</w:t>
      </w:r>
    </w:p>
    <w:p w14:paraId="2358232D"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Clove oil contains eugenol, a compound with analgesic and antiseptic properties. For centuries, cloves were used to relieve tooth pain and treat minor infections. These uses were practical, not symbolic.</w:t>
      </w:r>
    </w:p>
    <w:p w14:paraId="074A29CD"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Modern dentistry still relies on clove-derived compounds as topical anesthetics. What changed was not belief, but precision. Dosage became controlled. Claims became narrow.</w:t>
      </w:r>
    </w:p>
    <w:p w14:paraId="433256A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Folk medicine did not disappear. It was refined.</w:t>
      </w:r>
    </w:p>
    <w:p w14:paraId="7D32C21E"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50E405C6">
          <v:rect id="_x0000_i1859" style="width:0;height:1.5pt" o:hralign="center" o:hrstd="t" o:hr="t" fillcolor="#a0a0a0" stroked="f"/>
        </w:pict>
      </w:r>
    </w:p>
    <w:p w14:paraId="1F4DF25C"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Cinnamon and the Question of Scale</w:t>
      </w:r>
    </w:p>
    <w:p w14:paraId="0C5777D6"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Cinnamon illustrates how easily benefit becomes harm.</w:t>
      </w:r>
    </w:p>
    <w:p w14:paraId="129CFA0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Historically, it was prescribed to stimulate digestion and circulation. Today, it is studied for modest effects on blood sugar regulation.</w:t>
      </w:r>
    </w:p>
    <w:p w14:paraId="2B2FA0C0"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But not all cinnamon behaves the same way. Cassia cinnamon contains coumarin, which can damage the liver in high doses. Ceylon cinnamon contains far less.</w:t>
      </w:r>
    </w:p>
    <w:p w14:paraId="5D36BBEB"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The ancient intuition was not wrong. The mistake was assuming intensity implied safety.</w:t>
      </w:r>
    </w:p>
    <w:p w14:paraId="17D3FBDE"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Dosage was always the unresolved problem.</w:t>
      </w:r>
    </w:p>
    <w:p w14:paraId="3A7230CA"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56BE51F9">
          <v:rect id="_x0000_i1860" style="width:0;height:1.5pt" o:hralign="center" o:hrstd="t" o:hr="t" fillcolor="#a0a0a0" stroked="f"/>
        </w:pict>
      </w:r>
    </w:p>
    <w:p w14:paraId="49C6979D"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Saffron and Narrow Margins</w:t>
      </w:r>
    </w:p>
    <w:p w14:paraId="62B340E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Saffron was associated with mood, vitality, and appetite. Ancient texts describe its use for melancholy and fatigue. Modern research suggests it may influence serotonin pathways and appetite regulation, with mild effects in limited contexts.</w:t>
      </w:r>
    </w:p>
    <w:p w14:paraId="11CD6963"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Here again, science does not confirm the myth. It narrows it.</w:t>
      </w:r>
    </w:p>
    <w:p w14:paraId="1050A66D"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What survives is not transformation, but margin.</w:t>
      </w:r>
    </w:p>
    <w:p w14:paraId="010D649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5E5B9D83">
          <v:rect id="_x0000_i1861" style="width:0;height:1.5pt" o:hralign="center" o:hrstd="t" o:hr="t" fillcolor="#a0a0a0" stroked="f"/>
        </w:pict>
      </w:r>
    </w:p>
    <w:p w14:paraId="79D7AE4B"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Why These Beliefs Endured</w:t>
      </w:r>
    </w:p>
    <w:p w14:paraId="6246661C"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Spices endured as medicine because they did something noticeable.</w:t>
      </w:r>
    </w:p>
    <w:p w14:paraId="41C83715"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They warmed the body. They sharpened sensation. They eased pain. In an era with few tools and no diagnostics, responsiveness mattered. Scarcity reinforced belief. Cost implied importance.</w:t>
      </w:r>
    </w:p>
    <w:p w14:paraId="38F60496"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Medicine, prestige, and expectation reinforced one another.</w:t>
      </w:r>
    </w:p>
    <w:p w14:paraId="511AADCE"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Spices felt active. That was enough.</w:t>
      </w:r>
    </w:p>
    <w:p w14:paraId="078AA456"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7BB6A58B">
          <v:rect id="_x0000_i1862" style="width:0;height:1.5pt" o:hralign="center" o:hrstd="t" o:hr="t" fillcolor="#a0a0a0" stroked="f"/>
        </w:pict>
      </w:r>
    </w:p>
    <w:p w14:paraId="6CCF2B51"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From Apothecary to Wellness Aisle</w:t>
      </w:r>
    </w:p>
    <w:p w14:paraId="62BDA57B"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Modern medicine did not erase these traditions. It filtered them.</w:t>
      </w:r>
    </w:p>
    <w:p w14:paraId="20823E9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Today, spices appear in nutrition science and integrative medicine as adjuncts rather than cures. Turmeric is studied for inflammation. Ginger for nausea. Cinnamon for metabolic effects. Clove oil for localized pain.</w:t>
      </w:r>
    </w:p>
    <w:p w14:paraId="3FA9128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What has changed is the scale of the claim. Spices are no longer asked to heal. They are asked to help.</w:t>
      </w:r>
    </w:p>
    <w:p w14:paraId="5439C5A6"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I recognize this impulse in myself now, reading labels and wondering what might help.</w:t>
      </w:r>
    </w:p>
    <w:p w14:paraId="4760590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At the same time, ancient intuitions echo loudly in modern wellness culture. Extracts promise balance and vitality. Potency is amplified. Restraint is discarded.</w:t>
      </w:r>
    </w:p>
    <w:p w14:paraId="56436430"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The same mistake returns. Potency is mistaken for benefit.</w:t>
      </w:r>
    </w:p>
    <w:p w14:paraId="726763B2"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28F9C879">
          <v:rect id="_x0000_i1863" style="width:0;height:1.5pt" o:hralign="center" o:hrstd="t" o:hr="t" fillcolor="#a0a0a0" stroked="f"/>
        </w:pict>
      </w:r>
    </w:p>
    <w:p w14:paraId="036890D7"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Expectation, Ritual, and the Limits of Belief</w:t>
      </w:r>
    </w:p>
    <w:p w14:paraId="5D892E3E"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Pre-modern medicine understood ritual intuitively. Seriousness mattered. Ceremony reinforced effect.</w:t>
      </w:r>
    </w:p>
    <w:p w14:paraId="72BFEBD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Modern medicine acknowledges placebo effects reluctantly. They are real, measurable, and limited. They do not cure disease, but they shape experience.</w:t>
      </w:r>
    </w:p>
    <w:p w14:paraId="47C6B553"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Spices thrived in this space because they offered both sensation and meaning.</w:t>
      </w:r>
    </w:p>
    <w:p w14:paraId="2D27097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pict w14:anchorId="118C90EB">
          <v:rect id="_x0000_i1864" style="width:0;height:1.5pt" o:hralign="center" o:hrstd="t" o:hr="t" fillcolor="#a0a0a0" stroked="f"/>
        </w:pict>
      </w:r>
    </w:p>
    <w:p w14:paraId="4DA40688" w14:textId="77777777" w:rsidR="002C7296" w:rsidRPr="002C7296" w:rsidRDefault="002C7296" w:rsidP="002C7296">
      <w:pPr>
        <w:ind w:left="360" w:firstLine="0"/>
        <w:rPr>
          <w:rFonts w:asciiTheme="majorBidi" w:hAnsiTheme="majorBidi" w:cstheme="majorBidi"/>
          <w:b/>
          <w:bCs/>
          <w:sz w:val="40"/>
          <w:szCs w:val="40"/>
        </w:rPr>
      </w:pPr>
      <w:r w:rsidRPr="002C7296">
        <w:rPr>
          <w:rFonts w:asciiTheme="majorBidi" w:hAnsiTheme="majorBidi" w:cstheme="majorBidi"/>
          <w:b/>
          <w:bCs/>
          <w:sz w:val="40"/>
          <w:szCs w:val="40"/>
        </w:rPr>
        <w:t>What Endures</w:t>
      </w:r>
    </w:p>
    <w:p w14:paraId="289B6E7E"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Spices endure because they sit at a threshold.</w:t>
      </w:r>
    </w:p>
    <w:p w14:paraId="6DEA9E81"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They are food, but they behave like chemistry. They are familiar, but not inert. They remind us that the body responds to heat, bitterness, and aroma in ways that are real and sometimes unpredictable.</w:t>
      </w:r>
    </w:p>
    <w:p w14:paraId="5CCFA6AF"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A nutmeg seed in the palm today is unremarkable. A jar of cinnamon rattles quietly on a shelf. A clove releases its sharp scent when crushed.</w:t>
      </w:r>
    </w:p>
    <w:p w14:paraId="253A701A" w14:textId="77777777" w:rsidR="002C7296" w:rsidRPr="002C7296" w:rsidRDefault="002C7296" w:rsidP="002C7296">
      <w:pPr>
        <w:ind w:left="360" w:firstLine="0"/>
        <w:rPr>
          <w:rFonts w:asciiTheme="majorBidi" w:hAnsiTheme="majorBidi" w:cstheme="majorBidi"/>
          <w:sz w:val="40"/>
          <w:szCs w:val="40"/>
        </w:rPr>
      </w:pPr>
      <w:r w:rsidRPr="002C7296">
        <w:rPr>
          <w:rFonts w:asciiTheme="majorBidi" w:hAnsiTheme="majorBidi" w:cstheme="majorBidi"/>
          <w:sz w:val="40"/>
          <w:szCs w:val="40"/>
        </w:rPr>
        <w:t>Once, these objects promised control over illness and fate. Now, they offer something smaller and more honest.</w:t>
      </w:r>
    </w:p>
    <w:p w14:paraId="074BA9DE" w14:textId="18876339" w:rsidR="00FB5B6C" w:rsidRDefault="002C7296" w:rsidP="002C7296">
      <w:pPr>
        <w:pBdr>
          <w:bottom w:val="single" w:sz="12" w:space="1" w:color="auto"/>
        </w:pBdr>
        <w:ind w:left="360" w:firstLine="0"/>
        <w:rPr>
          <w:rFonts w:asciiTheme="majorBidi" w:hAnsiTheme="majorBidi" w:cstheme="majorBidi"/>
          <w:sz w:val="40"/>
          <w:szCs w:val="40"/>
        </w:rPr>
      </w:pPr>
      <w:r w:rsidRPr="002C7296">
        <w:rPr>
          <w:rFonts w:asciiTheme="majorBidi" w:hAnsiTheme="majorBidi" w:cstheme="majorBidi"/>
          <w:sz w:val="40"/>
          <w:szCs w:val="40"/>
        </w:rPr>
        <w:t>They remind us that sensation was our first diagnostic tool, and that the desire to master the body has always outrun our understanding of it.</w:t>
      </w:r>
    </w:p>
    <w:p w14:paraId="3A5423EA"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References</w:t>
      </w:r>
    </w:p>
    <w:p w14:paraId="48F29E8D"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Historical Medicine &amp; Medical Theory</w:t>
      </w:r>
    </w:p>
    <w:p w14:paraId="1EB95932" w14:textId="77777777" w:rsidR="00AF17D4" w:rsidRPr="00AF17D4" w:rsidRDefault="00AF17D4" w:rsidP="00AF17D4">
      <w:pPr>
        <w:numPr>
          <w:ilvl w:val="0"/>
          <w:numId w:val="5"/>
        </w:numPr>
        <w:rPr>
          <w:rFonts w:asciiTheme="majorBidi" w:hAnsiTheme="majorBidi" w:cstheme="majorBidi"/>
          <w:sz w:val="40"/>
          <w:szCs w:val="40"/>
        </w:rPr>
      </w:pPr>
      <w:r w:rsidRPr="00AF17D4">
        <w:rPr>
          <w:rFonts w:asciiTheme="majorBidi" w:hAnsiTheme="majorBidi" w:cstheme="majorBidi"/>
          <w:sz w:val="40"/>
          <w:szCs w:val="40"/>
        </w:rPr>
        <w:t xml:space="preserve">Porter, Roy. </w:t>
      </w:r>
      <w:r w:rsidRPr="00AF17D4">
        <w:rPr>
          <w:rFonts w:asciiTheme="majorBidi" w:hAnsiTheme="majorBidi" w:cstheme="majorBidi"/>
          <w:i/>
          <w:iCs/>
          <w:sz w:val="40"/>
          <w:szCs w:val="40"/>
        </w:rPr>
        <w:t>The Greatest Benefit to Mankind: A Medical History of Humanity</w:t>
      </w:r>
      <w:r w:rsidRPr="00AF17D4">
        <w:rPr>
          <w:rFonts w:asciiTheme="majorBidi" w:hAnsiTheme="majorBidi" w:cstheme="majorBidi"/>
          <w:sz w:val="40"/>
          <w:szCs w:val="40"/>
        </w:rPr>
        <w:t>. W. W. Norton &amp; Company, 1997.</w:t>
      </w:r>
    </w:p>
    <w:p w14:paraId="479FA210" w14:textId="77777777" w:rsidR="00AF17D4" w:rsidRPr="00AF17D4" w:rsidRDefault="00AF17D4" w:rsidP="00AF17D4">
      <w:pPr>
        <w:numPr>
          <w:ilvl w:val="0"/>
          <w:numId w:val="5"/>
        </w:numPr>
        <w:rPr>
          <w:rFonts w:asciiTheme="majorBidi" w:hAnsiTheme="majorBidi" w:cstheme="majorBidi"/>
          <w:sz w:val="40"/>
          <w:szCs w:val="40"/>
        </w:rPr>
      </w:pPr>
      <w:r w:rsidRPr="00AF17D4">
        <w:rPr>
          <w:rFonts w:asciiTheme="majorBidi" w:hAnsiTheme="majorBidi" w:cstheme="majorBidi"/>
          <w:sz w:val="40"/>
          <w:szCs w:val="40"/>
        </w:rPr>
        <w:t xml:space="preserve">Wear, Andrew. </w:t>
      </w:r>
      <w:r w:rsidRPr="00AF17D4">
        <w:rPr>
          <w:rFonts w:asciiTheme="majorBidi" w:hAnsiTheme="majorBidi" w:cstheme="majorBidi"/>
          <w:i/>
          <w:iCs/>
          <w:sz w:val="40"/>
          <w:szCs w:val="40"/>
        </w:rPr>
        <w:t>Knowledge and Practice in English Medicine, 1550–1680</w:t>
      </w:r>
      <w:r w:rsidRPr="00AF17D4">
        <w:rPr>
          <w:rFonts w:asciiTheme="majorBidi" w:hAnsiTheme="majorBidi" w:cstheme="majorBidi"/>
          <w:sz w:val="40"/>
          <w:szCs w:val="40"/>
        </w:rPr>
        <w:t>. Cambridge University Press, 2000.</w:t>
      </w:r>
    </w:p>
    <w:p w14:paraId="521923EA" w14:textId="77777777" w:rsidR="00AF17D4" w:rsidRPr="00AF17D4" w:rsidRDefault="00AF17D4" w:rsidP="00AF17D4">
      <w:pPr>
        <w:numPr>
          <w:ilvl w:val="0"/>
          <w:numId w:val="5"/>
        </w:numPr>
        <w:rPr>
          <w:rFonts w:asciiTheme="majorBidi" w:hAnsiTheme="majorBidi" w:cstheme="majorBidi"/>
          <w:sz w:val="40"/>
          <w:szCs w:val="40"/>
        </w:rPr>
      </w:pPr>
      <w:proofErr w:type="spellStart"/>
      <w:r w:rsidRPr="00AF17D4">
        <w:rPr>
          <w:rFonts w:asciiTheme="majorBidi" w:hAnsiTheme="majorBidi" w:cstheme="majorBidi"/>
          <w:sz w:val="40"/>
          <w:szCs w:val="40"/>
        </w:rPr>
        <w:t>Siraisi</w:t>
      </w:r>
      <w:proofErr w:type="spellEnd"/>
      <w:r w:rsidRPr="00AF17D4">
        <w:rPr>
          <w:rFonts w:asciiTheme="majorBidi" w:hAnsiTheme="majorBidi" w:cstheme="majorBidi"/>
          <w:sz w:val="40"/>
          <w:szCs w:val="40"/>
        </w:rPr>
        <w:t xml:space="preserve">, Nancy G. </w:t>
      </w:r>
      <w:r w:rsidRPr="00AF17D4">
        <w:rPr>
          <w:rFonts w:asciiTheme="majorBidi" w:hAnsiTheme="majorBidi" w:cstheme="majorBidi"/>
          <w:i/>
          <w:iCs/>
          <w:sz w:val="40"/>
          <w:szCs w:val="40"/>
        </w:rPr>
        <w:t>Medieval &amp; Early Renaissance Medicine: An Introduction to Knowledge and Practice</w:t>
      </w:r>
      <w:r w:rsidRPr="00AF17D4">
        <w:rPr>
          <w:rFonts w:asciiTheme="majorBidi" w:hAnsiTheme="majorBidi" w:cstheme="majorBidi"/>
          <w:sz w:val="40"/>
          <w:szCs w:val="40"/>
        </w:rPr>
        <w:t>. University of Chicago Press, 1990.</w:t>
      </w:r>
    </w:p>
    <w:p w14:paraId="2983BBA0" w14:textId="77777777" w:rsidR="00AF17D4" w:rsidRPr="00AF17D4" w:rsidRDefault="00AF17D4" w:rsidP="00AF17D4">
      <w:pPr>
        <w:numPr>
          <w:ilvl w:val="0"/>
          <w:numId w:val="5"/>
        </w:numPr>
        <w:rPr>
          <w:rFonts w:asciiTheme="majorBidi" w:hAnsiTheme="majorBidi" w:cstheme="majorBidi"/>
          <w:sz w:val="40"/>
          <w:szCs w:val="40"/>
        </w:rPr>
      </w:pPr>
      <w:r w:rsidRPr="00AF17D4">
        <w:rPr>
          <w:rFonts w:asciiTheme="majorBidi" w:hAnsiTheme="majorBidi" w:cstheme="majorBidi"/>
          <w:sz w:val="40"/>
          <w:szCs w:val="40"/>
        </w:rPr>
        <w:t xml:space="preserve">Nutton, Vivian. </w:t>
      </w:r>
      <w:r w:rsidRPr="00AF17D4">
        <w:rPr>
          <w:rFonts w:asciiTheme="majorBidi" w:hAnsiTheme="majorBidi" w:cstheme="majorBidi"/>
          <w:i/>
          <w:iCs/>
          <w:sz w:val="40"/>
          <w:szCs w:val="40"/>
        </w:rPr>
        <w:t>Ancient Medicine</w:t>
      </w:r>
      <w:r w:rsidRPr="00AF17D4">
        <w:rPr>
          <w:rFonts w:asciiTheme="majorBidi" w:hAnsiTheme="majorBidi" w:cstheme="majorBidi"/>
          <w:sz w:val="40"/>
          <w:szCs w:val="40"/>
        </w:rPr>
        <w:t>. Routledge, 2013.</w:t>
      </w:r>
    </w:p>
    <w:p w14:paraId="3DC1A704"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Spices in Pre-Modern Trade and Medicine</w:t>
      </w:r>
    </w:p>
    <w:p w14:paraId="49311FA4" w14:textId="77777777" w:rsidR="00AF17D4" w:rsidRPr="00AF17D4" w:rsidRDefault="00AF17D4" w:rsidP="00AF17D4">
      <w:pPr>
        <w:numPr>
          <w:ilvl w:val="0"/>
          <w:numId w:val="6"/>
        </w:numPr>
        <w:rPr>
          <w:rFonts w:asciiTheme="majorBidi" w:hAnsiTheme="majorBidi" w:cstheme="majorBidi"/>
          <w:sz w:val="40"/>
          <w:szCs w:val="40"/>
        </w:rPr>
      </w:pPr>
      <w:r w:rsidRPr="00AF17D4">
        <w:rPr>
          <w:rFonts w:asciiTheme="majorBidi" w:hAnsiTheme="majorBidi" w:cstheme="majorBidi"/>
          <w:sz w:val="40"/>
          <w:szCs w:val="40"/>
        </w:rPr>
        <w:t xml:space="preserve">Dalby, Andrew. </w:t>
      </w:r>
      <w:r w:rsidRPr="00AF17D4">
        <w:rPr>
          <w:rFonts w:asciiTheme="majorBidi" w:hAnsiTheme="majorBidi" w:cstheme="majorBidi"/>
          <w:i/>
          <w:iCs/>
          <w:sz w:val="40"/>
          <w:szCs w:val="40"/>
        </w:rPr>
        <w:t>Dangerous Tastes: The Story of Spices</w:t>
      </w:r>
      <w:r w:rsidRPr="00AF17D4">
        <w:rPr>
          <w:rFonts w:asciiTheme="majorBidi" w:hAnsiTheme="majorBidi" w:cstheme="majorBidi"/>
          <w:sz w:val="40"/>
          <w:szCs w:val="40"/>
        </w:rPr>
        <w:t>. University of California Press, 2000.</w:t>
      </w:r>
    </w:p>
    <w:p w14:paraId="7C97B296" w14:textId="77777777" w:rsidR="00AF17D4" w:rsidRPr="00AF17D4" w:rsidRDefault="00AF17D4" w:rsidP="00AF17D4">
      <w:pPr>
        <w:numPr>
          <w:ilvl w:val="0"/>
          <w:numId w:val="6"/>
        </w:numPr>
        <w:rPr>
          <w:rFonts w:asciiTheme="majorBidi" w:hAnsiTheme="majorBidi" w:cstheme="majorBidi"/>
          <w:sz w:val="40"/>
          <w:szCs w:val="40"/>
        </w:rPr>
      </w:pPr>
      <w:r w:rsidRPr="00AF17D4">
        <w:rPr>
          <w:rFonts w:asciiTheme="majorBidi" w:hAnsiTheme="majorBidi" w:cstheme="majorBidi"/>
          <w:sz w:val="40"/>
          <w:szCs w:val="40"/>
        </w:rPr>
        <w:t xml:space="preserve">Turner, Jack. </w:t>
      </w:r>
      <w:r w:rsidRPr="00AF17D4">
        <w:rPr>
          <w:rFonts w:asciiTheme="majorBidi" w:hAnsiTheme="majorBidi" w:cstheme="majorBidi"/>
          <w:i/>
          <w:iCs/>
          <w:sz w:val="40"/>
          <w:szCs w:val="40"/>
        </w:rPr>
        <w:t>Spice: The History of a Temptation</w:t>
      </w:r>
      <w:r w:rsidRPr="00AF17D4">
        <w:rPr>
          <w:rFonts w:asciiTheme="majorBidi" w:hAnsiTheme="majorBidi" w:cstheme="majorBidi"/>
          <w:sz w:val="40"/>
          <w:szCs w:val="40"/>
        </w:rPr>
        <w:t>. Alfred A. Knopf, 2004.</w:t>
      </w:r>
    </w:p>
    <w:p w14:paraId="62AB26CA" w14:textId="77777777" w:rsidR="00AF17D4" w:rsidRPr="00AF17D4" w:rsidRDefault="00AF17D4" w:rsidP="00AF17D4">
      <w:pPr>
        <w:numPr>
          <w:ilvl w:val="0"/>
          <w:numId w:val="6"/>
        </w:numPr>
        <w:rPr>
          <w:rFonts w:asciiTheme="majorBidi" w:hAnsiTheme="majorBidi" w:cstheme="majorBidi"/>
          <w:sz w:val="40"/>
          <w:szCs w:val="40"/>
        </w:rPr>
      </w:pPr>
      <w:r w:rsidRPr="00AF17D4">
        <w:rPr>
          <w:rFonts w:asciiTheme="majorBidi" w:hAnsiTheme="majorBidi" w:cstheme="majorBidi"/>
          <w:sz w:val="40"/>
          <w:szCs w:val="40"/>
        </w:rPr>
        <w:t xml:space="preserve">Freeman, Charles. </w:t>
      </w:r>
      <w:r w:rsidRPr="00AF17D4">
        <w:rPr>
          <w:rFonts w:asciiTheme="majorBidi" w:hAnsiTheme="majorBidi" w:cstheme="majorBidi"/>
          <w:i/>
          <w:iCs/>
          <w:sz w:val="40"/>
          <w:szCs w:val="40"/>
        </w:rPr>
        <w:t>The Closing of the Western Mind</w:t>
      </w:r>
      <w:r w:rsidRPr="00AF17D4">
        <w:rPr>
          <w:rFonts w:asciiTheme="majorBidi" w:hAnsiTheme="majorBidi" w:cstheme="majorBidi"/>
          <w:sz w:val="40"/>
          <w:szCs w:val="40"/>
        </w:rPr>
        <w:t>. Vintage Books, 2003.</w:t>
      </w:r>
    </w:p>
    <w:p w14:paraId="5AFC0ECA" w14:textId="77777777" w:rsidR="00AF17D4" w:rsidRPr="00AF17D4" w:rsidRDefault="00AF17D4" w:rsidP="00AF17D4">
      <w:pPr>
        <w:numPr>
          <w:ilvl w:val="0"/>
          <w:numId w:val="6"/>
        </w:numPr>
        <w:rPr>
          <w:rFonts w:asciiTheme="majorBidi" w:hAnsiTheme="majorBidi" w:cstheme="majorBidi"/>
          <w:sz w:val="40"/>
          <w:szCs w:val="40"/>
        </w:rPr>
      </w:pPr>
      <w:r w:rsidRPr="00AF17D4">
        <w:rPr>
          <w:rFonts w:asciiTheme="majorBidi" w:hAnsiTheme="majorBidi" w:cstheme="majorBidi"/>
          <w:sz w:val="40"/>
          <w:szCs w:val="40"/>
        </w:rPr>
        <w:t xml:space="preserve">Milton, Giles. </w:t>
      </w:r>
      <w:r w:rsidRPr="00AF17D4">
        <w:rPr>
          <w:rFonts w:asciiTheme="majorBidi" w:hAnsiTheme="majorBidi" w:cstheme="majorBidi"/>
          <w:i/>
          <w:iCs/>
          <w:sz w:val="40"/>
          <w:szCs w:val="40"/>
        </w:rPr>
        <w:t>Nathaniel’s Nutmeg</w:t>
      </w:r>
      <w:r w:rsidRPr="00AF17D4">
        <w:rPr>
          <w:rFonts w:asciiTheme="majorBidi" w:hAnsiTheme="majorBidi" w:cstheme="majorBidi"/>
          <w:sz w:val="40"/>
          <w:szCs w:val="40"/>
        </w:rPr>
        <w:t>. Farrar, Straus and Giroux, 1999.</w:t>
      </w:r>
    </w:p>
    <w:p w14:paraId="12D03B72"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Nutmeg (Myristica fragrans)</w:t>
      </w:r>
    </w:p>
    <w:p w14:paraId="598532A5" w14:textId="77777777" w:rsidR="00AF17D4" w:rsidRPr="00AF17D4" w:rsidRDefault="00AF17D4" w:rsidP="00AF17D4">
      <w:pPr>
        <w:numPr>
          <w:ilvl w:val="0"/>
          <w:numId w:val="7"/>
        </w:numPr>
        <w:rPr>
          <w:rFonts w:asciiTheme="majorBidi" w:hAnsiTheme="majorBidi" w:cstheme="majorBidi"/>
          <w:sz w:val="40"/>
          <w:szCs w:val="40"/>
        </w:rPr>
      </w:pPr>
      <w:r w:rsidRPr="00AF17D4">
        <w:rPr>
          <w:rFonts w:asciiTheme="majorBidi" w:hAnsiTheme="majorBidi" w:cstheme="majorBidi"/>
          <w:sz w:val="40"/>
          <w:szCs w:val="40"/>
        </w:rPr>
        <w:t xml:space="preserve">Hallstrom, H., &amp; </w:t>
      </w:r>
      <w:proofErr w:type="spellStart"/>
      <w:r w:rsidRPr="00AF17D4">
        <w:rPr>
          <w:rFonts w:asciiTheme="majorBidi" w:hAnsiTheme="majorBidi" w:cstheme="majorBidi"/>
          <w:sz w:val="40"/>
          <w:szCs w:val="40"/>
        </w:rPr>
        <w:t>Thuvander</w:t>
      </w:r>
      <w:proofErr w:type="spellEnd"/>
      <w:r w:rsidRPr="00AF17D4">
        <w:rPr>
          <w:rFonts w:asciiTheme="majorBidi" w:hAnsiTheme="majorBidi" w:cstheme="majorBidi"/>
          <w:sz w:val="40"/>
          <w:szCs w:val="40"/>
        </w:rPr>
        <w:t xml:space="preserve">, A. “Toxicological evaluation of myristicin.” </w:t>
      </w:r>
      <w:r w:rsidRPr="00AF17D4">
        <w:rPr>
          <w:rFonts w:asciiTheme="majorBidi" w:hAnsiTheme="majorBidi" w:cstheme="majorBidi"/>
          <w:i/>
          <w:iCs/>
          <w:sz w:val="40"/>
          <w:szCs w:val="40"/>
        </w:rPr>
        <w:t>Food and Chemical Toxicology</w:t>
      </w:r>
      <w:r w:rsidRPr="00AF17D4">
        <w:rPr>
          <w:rFonts w:asciiTheme="majorBidi" w:hAnsiTheme="majorBidi" w:cstheme="majorBidi"/>
          <w:sz w:val="40"/>
          <w:szCs w:val="40"/>
        </w:rPr>
        <w:t>, vol. 35, no. 3–4, 1997, pp. 261–266.</w:t>
      </w:r>
    </w:p>
    <w:p w14:paraId="65F4C08D" w14:textId="77777777" w:rsidR="00AF17D4" w:rsidRPr="00AF17D4" w:rsidRDefault="00AF17D4" w:rsidP="00AF17D4">
      <w:pPr>
        <w:numPr>
          <w:ilvl w:val="0"/>
          <w:numId w:val="7"/>
        </w:numPr>
        <w:rPr>
          <w:rFonts w:asciiTheme="majorBidi" w:hAnsiTheme="majorBidi" w:cstheme="majorBidi"/>
          <w:sz w:val="40"/>
          <w:szCs w:val="40"/>
        </w:rPr>
      </w:pPr>
      <w:r w:rsidRPr="00AF17D4">
        <w:rPr>
          <w:rFonts w:asciiTheme="majorBidi" w:hAnsiTheme="majorBidi" w:cstheme="majorBidi"/>
          <w:sz w:val="40"/>
          <w:szCs w:val="40"/>
        </w:rPr>
        <w:t xml:space="preserve">Stein, U., et al. “Nutmeg (Myristica fragrans) intoxication.” </w:t>
      </w:r>
      <w:r w:rsidRPr="00AF17D4">
        <w:rPr>
          <w:rFonts w:asciiTheme="majorBidi" w:hAnsiTheme="majorBidi" w:cstheme="majorBidi"/>
          <w:i/>
          <w:iCs/>
          <w:sz w:val="40"/>
          <w:szCs w:val="40"/>
        </w:rPr>
        <w:t>Journal of Toxicology: Clinical Toxicology</w:t>
      </w:r>
      <w:r w:rsidRPr="00AF17D4">
        <w:rPr>
          <w:rFonts w:asciiTheme="majorBidi" w:hAnsiTheme="majorBidi" w:cstheme="majorBidi"/>
          <w:sz w:val="40"/>
          <w:szCs w:val="40"/>
        </w:rPr>
        <w:t>, vol. 33, no. 6, 1995, pp. 703–706.</w:t>
      </w:r>
    </w:p>
    <w:p w14:paraId="798BCE8A" w14:textId="77777777" w:rsidR="00AF17D4" w:rsidRPr="00AF17D4" w:rsidRDefault="00AF17D4" w:rsidP="00AF17D4">
      <w:pPr>
        <w:numPr>
          <w:ilvl w:val="0"/>
          <w:numId w:val="7"/>
        </w:numPr>
        <w:rPr>
          <w:rFonts w:asciiTheme="majorBidi" w:hAnsiTheme="majorBidi" w:cstheme="majorBidi"/>
          <w:sz w:val="40"/>
          <w:szCs w:val="40"/>
        </w:rPr>
      </w:pPr>
      <w:r w:rsidRPr="00AF17D4">
        <w:rPr>
          <w:rFonts w:asciiTheme="majorBidi" w:hAnsiTheme="majorBidi" w:cstheme="majorBidi"/>
          <w:sz w:val="40"/>
          <w:szCs w:val="40"/>
        </w:rPr>
        <w:t xml:space="preserve">Demetriades, A. K., et al. “Nutmeg poisoning.” </w:t>
      </w:r>
      <w:r w:rsidRPr="00AF17D4">
        <w:rPr>
          <w:rFonts w:asciiTheme="majorBidi" w:hAnsiTheme="majorBidi" w:cstheme="majorBidi"/>
          <w:i/>
          <w:iCs/>
          <w:sz w:val="40"/>
          <w:szCs w:val="40"/>
        </w:rPr>
        <w:t>European Journal of Emergency Medicine</w:t>
      </w:r>
      <w:r w:rsidRPr="00AF17D4">
        <w:rPr>
          <w:rFonts w:asciiTheme="majorBidi" w:hAnsiTheme="majorBidi" w:cstheme="majorBidi"/>
          <w:sz w:val="40"/>
          <w:szCs w:val="40"/>
        </w:rPr>
        <w:t>, vol. 12, no. 3, 2005.</w:t>
      </w:r>
    </w:p>
    <w:p w14:paraId="037F84DD"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Clove (</w:t>
      </w:r>
      <w:proofErr w:type="spellStart"/>
      <w:r w:rsidRPr="00AF17D4">
        <w:rPr>
          <w:rFonts w:asciiTheme="majorBidi" w:hAnsiTheme="majorBidi" w:cstheme="majorBidi"/>
          <w:b/>
          <w:bCs/>
          <w:sz w:val="40"/>
          <w:szCs w:val="40"/>
        </w:rPr>
        <w:t>Syzygium</w:t>
      </w:r>
      <w:proofErr w:type="spellEnd"/>
      <w:r w:rsidRPr="00AF17D4">
        <w:rPr>
          <w:rFonts w:asciiTheme="majorBidi" w:hAnsiTheme="majorBidi" w:cstheme="majorBidi"/>
          <w:b/>
          <w:bCs/>
          <w:sz w:val="40"/>
          <w:szCs w:val="40"/>
        </w:rPr>
        <w:t xml:space="preserve"> aromaticum)</w:t>
      </w:r>
    </w:p>
    <w:p w14:paraId="4E18C828" w14:textId="77777777" w:rsidR="00AF17D4" w:rsidRPr="00AF17D4" w:rsidRDefault="00AF17D4" w:rsidP="00AF17D4">
      <w:pPr>
        <w:numPr>
          <w:ilvl w:val="0"/>
          <w:numId w:val="8"/>
        </w:numPr>
        <w:rPr>
          <w:rFonts w:asciiTheme="majorBidi" w:hAnsiTheme="majorBidi" w:cstheme="majorBidi"/>
          <w:sz w:val="40"/>
          <w:szCs w:val="40"/>
        </w:rPr>
      </w:pPr>
      <w:r w:rsidRPr="00AF17D4">
        <w:rPr>
          <w:rFonts w:asciiTheme="majorBidi" w:hAnsiTheme="majorBidi" w:cstheme="majorBidi"/>
          <w:sz w:val="40"/>
          <w:szCs w:val="40"/>
        </w:rPr>
        <w:t xml:space="preserve">Chaieb, K., et al. “Antibacterial activity of clove essential oil.” </w:t>
      </w:r>
      <w:r w:rsidRPr="00AF17D4">
        <w:rPr>
          <w:rFonts w:asciiTheme="majorBidi" w:hAnsiTheme="majorBidi" w:cstheme="majorBidi"/>
          <w:i/>
          <w:iCs/>
          <w:sz w:val="40"/>
          <w:szCs w:val="40"/>
        </w:rPr>
        <w:t>Phytotherapy Research</w:t>
      </w:r>
      <w:r w:rsidRPr="00AF17D4">
        <w:rPr>
          <w:rFonts w:asciiTheme="majorBidi" w:hAnsiTheme="majorBidi" w:cstheme="majorBidi"/>
          <w:sz w:val="40"/>
          <w:szCs w:val="40"/>
        </w:rPr>
        <w:t>, vol. 21, no. 6, 2007.</w:t>
      </w:r>
    </w:p>
    <w:p w14:paraId="27C39760" w14:textId="77777777" w:rsidR="00AF17D4" w:rsidRPr="00AF17D4" w:rsidRDefault="00AF17D4" w:rsidP="00AF17D4">
      <w:pPr>
        <w:numPr>
          <w:ilvl w:val="0"/>
          <w:numId w:val="8"/>
        </w:numPr>
        <w:rPr>
          <w:rFonts w:asciiTheme="majorBidi" w:hAnsiTheme="majorBidi" w:cstheme="majorBidi"/>
          <w:sz w:val="40"/>
          <w:szCs w:val="40"/>
        </w:rPr>
      </w:pPr>
      <w:r w:rsidRPr="00AF17D4">
        <w:rPr>
          <w:rFonts w:asciiTheme="majorBidi" w:hAnsiTheme="majorBidi" w:cstheme="majorBidi"/>
          <w:sz w:val="40"/>
          <w:szCs w:val="40"/>
        </w:rPr>
        <w:t xml:space="preserve">Marchese, A., et al. “Antimicrobial activity of eugenol.” </w:t>
      </w:r>
      <w:r w:rsidRPr="00AF17D4">
        <w:rPr>
          <w:rFonts w:asciiTheme="majorBidi" w:hAnsiTheme="majorBidi" w:cstheme="majorBidi"/>
          <w:i/>
          <w:iCs/>
          <w:sz w:val="40"/>
          <w:szCs w:val="40"/>
        </w:rPr>
        <w:t>Microbial Pathogenesis</w:t>
      </w:r>
      <w:r w:rsidRPr="00AF17D4">
        <w:rPr>
          <w:rFonts w:asciiTheme="majorBidi" w:hAnsiTheme="majorBidi" w:cstheme="majorBidi"/>
          <w:sz w:val="40"/>
          <w:szCs w:val="40"/>
        </w:rPr>
        <w:t>, vol. 137, 2019.</w:t>
      </w:r>
    </w:p>
    <w:p w14:paraId="1593067C" w14:textId="77777777" w:rsidR="00AF17D4" w:rsidRPr="00AF17D4" w:rsidRDefault="00AF17D4" w:rsidP="00AF17D4">
      <w:pPr>
        <w:numPr>
          <w:ilvl w:val="0"/>
          <w:numId w:val="8"/>
        </w:numPr>
        <w:rPr>
          <w:rFonts w:asciiTheme="majorBidi" w:hAnsiTheme="majorBidi" w:cstheme="majorBidi"/>
          <w:sz w:val="40"/>
          <w:szCs w:val="40"/>
        </w:rPr>
      </w:pPr>
      <w:r w:rsidRPr="00AF17D4">
        <w:rPr>
          <w:rFonts w:asciiTheme="majorBidi" w:hAnsiTheme="majorBidi" w:cstheme="majorBidi"/>
          <w:sz w:val="40"/>
          <w:szCs w:val="40"/>
        </w:rPr>
        <w:t>American Dental Association. “Topical anesthetics and analgesics in dentistry.”</w:t>
      </w:r>
    </w:p>
    <w:p w14:paraId="446C76E6"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Cinnamon (Cinnamomum spp.)</w:t>
      </w:r>
    </w:p>
    <w:p w14:paraId="101A23B5" w14:textId="77777777" w:rsidR="00AF17D4" w:rsidRPr="00AF17D4" w:rsidRDefault="00AF17D4" w:rsidP="00AF17D4">
      <w:pPr>
        <w:numPr>
          <w:ilvl w:val="0"/>
          <w:numId w:val="9"/>
        </w:numPr>
        <w:rPr>
          <w:rFonts w:asciiTheme="majorBidi" w:hAnsiTheme="majorBidi" w:cstheme="majorBidi"/>
          <w:sz w:val="40"/>
          <w:szCs w:val="40"/>
        </w:rPr>
      </w:pPr>
      <w:r w:rsidRPr="00AF17D4">
        <w:rPr>
          <w:rFonts w:asciiTheme="majorBidi" w:hAnsiTheme="majorBidi" w:cstheme="majorBidi"/>
          <w:sz w:val="40"/>
          <w:szCs w:val="40"/>
        </w:rPr>
        <w:t xml:space="preserve">Anderson, R. A. “Cinnamon and glucose metabolism.” </w:t>
      </w:r>
      <w:r w:rsidRPr="00AF17D4">
        <w:rPr>
          <w:rFonts w:asciiTheme="majorBidi" w:hAnsiTheme="majorBidi" w:cstheme="majorBidi"/>
          <w:i/>
          <w:iCs/>
          <w:sz w:val="40"/>
          <w:szCs w:val="40"/>
        </w:rPr>
        <w:t>Journal of the American College of Nutrition</w:t>
      </w:r>
      <w:r w:rsidRPr="00AF17D4">
        <w:rPr>
          <w:rFonts w:asciiTheme="majorBidi" w:hAnsiTheme="majorBidi" w:cstheme="majorBidi"/>
          <w:sz w:val="40"/>
          <w:szCs w:val="40"/>
        </w:rPr>
        <w:t>, vol. 27, no. 3, 2008.</w:t>
      </w:r>
    </w:p>
    <w:p w14:paraId="55D89B89" w14:textId="77777777" w:rsidR="00AF17D4" w:rsidRPr="00AF17D4" w:rsidRDefault="00AF17D4" w:rsidP="00AF17D4">
      <w:pPr>
        <w:numPr>
          <w:ilvl w:val="0"/>
          <w:numId w:val="9"/>
        </w:numPr>
        <w:rPr>
          <w:rFonts w:asciiTheme="majorBidi" w:hAnsiTheme="majorBidi" w:cstheme="majorBidi"/>
          <w:sz w:val="40"/>
          <w:szCs w:val="40"/>
        </w:rPr>
      </w:pPr>
      <w:r w:rsidRPr="00AF17D4">
        <w:rPr>
          <w:rFonts w:asciiTheme="majorBidi" w:hAnsiTheme="majorBidi" w:cstheme="majorBidi"/>
          <w:sz w:val="40"/>
          <w:szCs w:val="40"/>
        </w:rPr>
        <w:t xml:space="preserve">Abraham, K., et al. “Risk assessment of coumarin in cinnamon.” </w:t>
      </w:r>
      <w:r w:rsidRPr="00AF17D4">
        <w:rPr>
          <w:rFonts w:asciiTheme="majorBidi" w:hAnsiTheme="majorBidi" w:cstheme="majorBidi"/>
          <w:i/>
          <w:iCs/>
          <w:sz w:val="40"/>
          <w:szCs w:val="40"/>
        </w:rPr>
        <w:t>Food and Chemical Toxicology</w:t>
      </w:r>
      <w:r w:rsidRPr="00AF17D4">
        <w:rPr>
          <w:rFonts w:asciiTheme="majorBidi" w:hAnsiTheme="majorBidi" w:cstheme="majorBidi"/>
          <w:sz w:val="40"/>
          <w:szCs w:val="40"/>
        </w:rPr>
        <w:t>, vol. 48, no. 10, 2010.</w:t>
      </w:r>
    </w:p>
    <w:p w14:paraId="71D3CD3A" w14:textId="77777777" w:rsidR="00AF17D4" w:rsidRPr="00AF17D4" w:rsidRDefault="00AF17D4" w:rsidP="00AF17D4">
      <w:pPr>
        <w:numPr>
          <w:ilvl w:val="0"/>
          <w:numId w:val="9"/>
        </w:numPr>
        <w:rPr>
          <w:rFonts w:asciiTheme="majorBidi" w:hAnsiTheme="majorBidi" w:cstheme="majorBidi"/>
          <w:sz w:val="40"/>
          <w:szCs w:val="40"/>
        </w:rPr>
      </w:pPr>
      <w:r w:rsidRPr="00AF17D4">
        <w:rPr>
          <w:rFonts w:asciiTheme="majorBidi" w:hAnsiTheme="majorBidi" w:cstheme="majorBidi"/>
          <w:sz w:val="40"/>
          <w:szCs w:val="40"/>
        </w:rPr>
        <w:t>European Food Safety Authority (EFSA). “Coumarin in flavorings and food.”</w:t>
      </w:r>
    </w:p>
    <w:p w14:paraId="657530F0"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Saffron (Crocus sativus)</w:t>
      </w:r>
    </w:p>
    <w:p w14:paraId="5BE36597" w14:textId="77777777" w:rsidR="00AF17D4" w:rsidRPr="00AF17D4" w:rsidRDefault="00AF17D4" w:rsidP="00AF17D4">
      <w:pPr>
        <w:numPr>
          <w:ilvl w:val="0"/>
          <w:numId w:val="10"/>
        </w:numPr>
        <w:rPr>
          <w:rFonts w:asciiTheme="majorBidi" w:hAnsiTheme="majorBidi" w:cstheme="majorBidi"/>
          <w:sz w:val="40"/>
          <w:szCs w:val="40"/>
        </w:rPr>
      </w:pPr>
      <w:proofErr w:type="spellStart"/>
      <w:r w:rsidRPr="00AF17D4">
        <w:rPr>
          <w:rFonts w:asciiTheme="majorBidi" w:hAnsiTheme="majorBidi" w:cstheme="majorBidi"/>
          <w:sz w:val="40"/>
          <w:szCs w:val="40"/>
        </w:rPr>
        <w:t>Hausenblas</w:t>
      </w:r>
      <w:proofErr w:type="spellEnd"/>
      <w:r w:rsidRPr="00AF17D4">
        <w:rPr>
          <w:rFonts w:asciiTheme="majorBidi" w:hAnsiTheme="majorBidi" w:cstheme="majorBidi"/>
          <w:sz w:val="40"/>
          <w:szCs w:val="40"/>
        </w:rPr>
        <w:t xml:space="preserve">, H. A., et al. “Saffron supplementation and mood.” </w:t>
      </w:r>
      <w:r w:rsidRPr="00AF17D4">
        <w:rPr>
          <w:rFonts w:asciiTheme="majorBidi" w:hAnsiTheme="majorBidi" w:cstheme="majorBidi"/>
          <w:i/>
          <w:iCs/>
          <w:sz w:val="40"/>
          <w:szCs w:val="40"/>
        </w:rPr>
        <w:t>Journal of Integrative Medicine</w:t>
      </w:r>
      <w:r w:rsidRPr="00AF17D4">
        <w:rPr>
          <w:rFonts w:asciiTheme="majorBidi" w:hAnsiTheme="majorBidi" w:cstheme="majorBidi"/>
          <w:sz w:val="40"/>
          <w:szCs w:val="40"/>
        </w:rPr>
        <w:t>, vol. 11, no. 6, 2013.</w:t>
      </w:r>
    </w:p>
    <w:p w14:paraId="3DBD3C1B" w14:textId="77777777" w:rsidR="00AF17D4" w:rsidRPr="00AF17D4" w:rsidRDefault="00AF17D4" w:rsidP="00AF17D4">
      <w:pPr>
        <w:numPr>
          <w:ilvl w:val="0"/>
          <w:numId w:val="10"/>
        </w:numPr>
        <w:rPr>
          <w:rFonts w:asciiTheme="majorBidi" w:hAnsiTheme="majorBidi" w:cstheme="majorBidi"/>
          <w:sz w:val="40"/>
          <w:szCs w:val="40"/>
        </w:rPr>
      </w:pPr>
      <w:r w:rsidRPr="00AF17D4">
        <w:rPr>
          <w:rFonts w:asciiTheme="majorBidi" w:hAnsiTheme="majorBidi" w:cstheme="majorBidi"/>
          <w:sz w:val="40"/>
          <w:szCs w:val="40"/>
        </w:rPr>
        <w:t xml:space="preserve">Lopresti, A. L., &amp; Drummond, P. D. “Saffron for mood disorders.” </w:t>
      </w:r>
      <w:r w:rsidRPr="00AF17D4">
        <w:rPr>
          <w:rFonts w:asciiTheme="majorBidi" w:hAnsiTheme="majorBidi" w:cstheme="majorBidi"/>
          <w:i/>
          <w:iCs/>
          <w:sz w:val="40"/>
          <w:szCs w:val="40"/>
        </w:rPr>
        <w:t>Human Psychopharmacology</w:t>
      </w:r>
      <w:r w:rsidRPr="00AF17D4">
        <w:rPr>
          <w:rFonts w:asciiTheme="majorBidi" w:hAnsiTheme="majorBidi" w:cstheme="majorBidi"/>
          <w:sz w:val="40"/>
          <w:szCs w:val="40"/>
        </w:rPr>
        <w:t>, vol. 29, no. 6, 2014.</w:t>
      </w:r>
    </w:p>
    <w:p w14:paraId="1FB7A104" w14:textId="77777777" w:rsidR="00AF17D4" w:rsidRPr="00AF17D4" w:rsidRDefault="00AF17D4" w:rsidP="00AF17D4">
      <w:pPr>
        <w:numPr>
          <w:ilvl w:val="0"/>
          <w:numId w:val="10"/>
        </w:numPr>
        <w:rPr>
          <w:rFonts w:asciiTheme="majorBidi" w:hAnsiTheme="majorBidi" w:cstheme="majorBidi"/>
          <w:sz w:val="40"/>
          <w:szCs w:val="40"/>
        </w:rPr>
      </w:pPr>
      <w:r w:rsidRPr="00AF17D4">
        <w:rPr>
          <w:rFonts w:asciiTheme="majorBidi" w:hAnsiTheme="majorBidi" w:cstheme="majorBidi"/>
          <w:sz w:val="40"/>
          <w:szCs w:val="40"/>
        </w:rPr>
        <w:t xml:space="preserve">Srivastava, R., et al. “Saffron: Pharmacology and therapeutic potential.” </w:t>
      </w:r>
      <w:r w:rsidRPr="00AF17D4">
        <w:rPr>
          <w:rFonts w:asciiTheme="majorBidi" w:hAnsiTheme="majorBidi" w:cstheme="majorBidi"/>
          <w:i/>
          <w:iCs/>
          <w:sz w:val="40"/>
          <w:szCs w:val="40"/>
        </w:rPr>
        <w:t>Pharmacognosy Reviews</w:t>
      </w:r>
      <w:r w:rsidRPr="00AF17D4">
        <w:rPr>
          <w:rFonts w:asciiTheme="majorBidi" w:hAnsiTheme="majorBidi" w:cstheme="majorBidi"/>
          <w:sz w:val="40"/>
          <w:szCs w:val="40"/>
        </w:rPr>
        <w:t>, vol. 4, no. 8, 2010.</w:t>
      </w:r>
    </w:p>
    <w:p w14:paraId="62A8DBAF"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Placebo, Ritual, and Expectation</w:t>
      </w:r>
    </w:p>
    <w:p w14:paraId="0300C27D" w14:textId="77777777" w:rsidR="00AF17D4" w:rsidRPr="00AF17D4" w:rsidRDefault="00AF17D4" w:rsidP="00AF17D4">
      <w:pPr>
        <w:numPr>
          <w:ilvl w:val="0"/>
          <w:numId w:val="11"/>
        </w:numPr>
        <w:rPr>
          <w:rFonts w:asciiTheme="majorBidi" w:hAnsiTheme="majorBidi" w:cstheme="majorBidi"/>
          <w:sz w:val="40"/>
          <w:szCs w:val="40"/>
        </w:rPr>
      </w:pPr>
      <w:r w:rsidRPr="00AF17D4">
        <w:rPr>
          <w:rFonts w:asciiTheme="majorBidi" w:hAnsiTheme="majorBidi" w:cstheme="majorBidi"/>
          <w:sz w:val="40"/>
          <w:szCs w:val="40"/>
        </w:rPr>
        <w:t xml:space="preserve">Benedetti, Fabrizio. </w:t>
      </w:r>
      <w:r w:rsidRPr="00AF17D4">
        <w:rPr>
          <w:rFonts w:asciiTheme="majorBidi" w:hAnsiTheme="majorBidi" w:cstheme="majorBidi"/>
          <w:i/>
          <w:iCs/>
          <w:sz w:val="40"/>
          <w:szCs w:val="40"/>
        </w:rPr>
        <w:t>Placebo Effects</w:t>
      </w:r>
      <w:r w:rsidRPr="00AF17D4">
        <w:rPr>
          <w:rFonts w:asciiTheme="majorBidi" w:hAnsiTheme="majorBidi" w:cstheme="majorBidi"/>
          <w:sz w:val="40"/>
          <w:szCs w:val="40"/>
        </w:rPr>
        <w:t>. Oxford University Press, 2014.</w:t>
      </w:r>
    </w:p>
    <w:p w14:paraId="4F31D6D4" w14:textId="77777777" w:rsidR="00AF17D4" w:rsidRPr="00AF17D4" w:rsidRDefault="00AF17D4" w:rsidP="00AF17D4">
      <w:pPr>
        <w:numPr>
          <w:ilvl w:val="0"/>
          <w:numId w:val="11"/>
        </w:numPr>
        <w:rPr>
          <w:rFonts w:asciiTheme="majorBidi" w:hAnsiTheme="majorBidi" w:cstheme="majorBidi"/>
          <w:sz w:val="40"/>
          <w:szCs w:val="40"/>
        </w:rPr>
      </w:pPr>
      <w:r w:rsidRPr="00AF17D4">
        <w:rPr>
          <w:rFonts w:asciiTheme="majorBidi" w:hAnsiTheme="majorBidi" w:cstheme="majorBidi"/>
          <w:sz w:val="40"/>
          <w:szCs w:val="40"/>
        </w:rPr>
        <w:t xml:space="preserve">Kaptchuk, Ted J., et al. “Placebos without deception.” </w:t>
      </w:r>
      <w:proofErr w:type="spellStart"/>
      <w:r w:rsidRPr="00AF17D4">
        <w:rPr>
          <w:rFonts w:asciiTheme="majorBidi" w:hAnsiTheme="majorBidi" w:cstheme="majorBidi"/>
          <w:i/>
          <w:iCs/>
          <w:sz w:val="40"/>
          <w:szCs w:val="40"/>
        </w:rPr>
        <w:t>PLoS</w:t>
      </w:r>
      <w:proofErr w:type="spellEnd"/>
      <w:r w:rsidRPr="00AF17D4">
        <w:rPr>
          <w:rFonts w:asciiTheme="majorBidi" w:hAnsiTheme="majorBidi" w:cstheme="majorBidi"/>
          <w:i/>
          <w:iCs/>
          <w:sz w:val="40"/>
          <w:szCs w:val="40"/>
        </w:rPr>
        <w:t xml:space="preserve"> ONE</w:t>
      </w:r>
      <w:r w:rsidRPr="00AF17D4">
        <w:rPr>
          <w:rFonts w:asciiTheme="majorBidi" w:hAnsiTheme="majorBidi" w:cstheme="majorBidi"/>
          <w:sz w:val="40"/>
          <w:szCs w:val="40"/>
        </w:rPr>
        <w:t>, vol. 5, no. 12, 2010.</w:t>
      </w:r>
    </w:p>
    <w:p w14:paraId="460B5D4E" w14:textId="77777777" w:rsidR="00AF17D4" w:rsidRPr="00AF17D4" w:rsidRDefault="00AF17D4" w:rsidP="00AF17D4">
      <w:pPr>
        <w:numPr>
          <w:ilvl w:val="0"/>
          <w:numId w:val="11"/>
        </w:numPr>
        <w:rPr>
          <w:rFonts w:asciiTheme="majorBidi" w:hAnsiTheme="majorBidi" w:cstheme="majorBidi"/>
          <w:sz w:val="40"/>
          <w:szCs w:val="40"/>
        </w:rPr>
      </w:pPr>
      <w:r w:rsidRPr="00AF17D4">
        <w:rPr>
          <w:rFonts w:asciiTheme="majorBidi" w:hAnsiTheme="majorBidi" w:cstheme="majorBidi"/>
          <w:sz w:val="40"/>
          <w:szCs w:val="40"/>
        </w:rPr>
        <w:t xml:space="preserve">Moerman, Daniel E. </w:t>
      </w:r>
      <w:r w:rsidRPr="00AF17D4">
        <w:rPr>
          <w:rFonts w:asciiTheme="majorBidi" w:hAnsiTheme="majorBidi" w:cstheme="majorBidi"/>
          <w:i/>
          <w:iCs/>
          <w:sz w:val="40"/>
          <w:szCs w:val="40"/>
        </w:rPr>
        <w:t>Meaning, Medicine, and the ‘Placebo Effect’</w:t>
      </w:r>
      <w:r w:rsidRPr="00AF17D4">
        <w:rPr>
          <w:rFonts w:asciiTheme="majorBidi" w:hAnsiTheme="majorBidi" w:cstheme="majorBidi"/>
          <w:sz w:val="40"/>
          <w:szCs w:val="40"/>
        </w:rPr>
        <w:t>. Cambridge University Press, 2002.</w:t>
      </w:r>
    </w:p>
    <w:p w14:paraId="3D076575" w14:textId="77777777" w:rsidR="00AF17D4" w:rsidRPr="00AF17D4" w:rsidRDefault="00AF17D4" w:rsidP="00AF17D4">
      <w:pPr>
        <w:ind w:left="360" w:firstLine="0"/>
        <w:rPr>
          <w:rFonts w:asciiTheme="majorBidi" w:hAnsiTheme="majorBidi" w:cstheme="majorBidi"/>
          <w:b/>
          <w:bCs/>
          <w:sz w:val="40"/>
          <w:szCs w:val="40"/>
        </w:rPr>
      </w:pPr>
      <w:r w:rsidRPr="00AF17D4">
        <w:rPr>
          <w:rFonts w:asciiTheme="majorBidi" w:hAnsiTheme="majorBidi" w:cstheme="majorBidi"/>
          <w:b/>
          <w:bCs/>
          <w:sz w:val="40"/>
          <w:szCs w:val="40"/>
        </w:rPr>
        <w:t>Integrative &amp; Contemporary Context</w:t>
      </w:r>
    </w:p>
    <w:p w14:paraId="5FCC1776" w14:textId="77777777" w:rsidR="00AF17D4" w:rsidRPr="00AF17D4" w:rsidRDefault="00AF17D4" w:rsidP="00AF17D4">
      <w:pPr>
        <w:numPr>
          <w:ilvl w:val="0"/>
          <w:numId w:val="12"/>
        </w:numPr>
        <w:rPr>
          <w:rFonts w:asciiTheme="majorBidi" w:hAnsiTheme="majorBidi" w:cstheme="majorBidi"/>
          <w:sz w:val="40"/>
          <w:szCs w:val="40"/>
        </w:rPr>
      </w:pPr>
      <w:r w:rsidRPr="00AF17D4">
        <w:rPr>
          <w:rFonts w:asciiTheme="majorBidi" w:hAnsiTheme="majorBidi" w:cstheme="majorBidi"/>
          <w:sz w:val="40"/>
          <w:szCs w:val="40"/>
        </w:rPr>
        <w:t>National Center for Complementary and Integrative Health (NCCIH), NIH. “Herbs and Spices: What the Science Says.”</w:t>
      </w:r>
    </w:p>
    <w:p w14:paraId="161DA4D6" w14:textId="0530FA49" w:rsidR="00AF17D4" w:rsidRPr="00971A69" w:rsidRDefault="00AF17D4" w:rsidP="00AF17D4">
      <w:pPr>
        <w:numPr>
          <w:ilvl w:val="0"/>
          <w:numId w:val="12"/>
        </w:numPr>
        <w:rPr>
          <w:rFonts w:asciiTheme="majorBidi" w:hAnsiTheme="majorBidi" w:cstheme="majorBidi"/>
          <w:sz w:val="40"/>
          <w:szCs w:val="40"/>
        </w:rPr>
      </w:pPr>
      <w:r w:rsidRPr="00AF17D4">
        <w:rPr>
          <w:rFonts w:asciiTheme="majorBidi" w:hAnsiTheme="majorBidi" w:cstheme="majorBidi"/>
          <w:sz w:val="40"/>
          <w:szCs w:val="40"/>
        </w:rPr>
        <w:t xml:space="preserve">World Health Organization. </w:t>
      </w:r>
      <w:r w:rsidRPr="00AF17D4">
        <w:rPr>
          <w:rFonts w:asciiTheme="majorBidi" w:hAnsiTheme="majorBidi" w:cstheme="majorBidi"/>
          <w:i/>
          <w:iCs/>
          <w:sz w:val="40"/>
          <w:szCs w:val="40"/>
        </w:rPr>
        <w:t>WHO Traditional Medicine Strategy 2014–2023</w:t>
      </w:r>
      <w:r w:rsidRPr="00AF17D4">
        <w:rPr>
          <w:rFonts w:asciiTheme="majorBidi" w:hAnsiTheme="majorBidi" w:cstheme="majorBidi"/>
          <w:sz w:val="40"/>
          <w:szCs w:val="40"/>
        </w:rPr>
        <w:t>.</w:t>
      </w:r>
    </w:p>
    <w:sectPr w:rsidR="00AF17D4" w:rsidRPr="0097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24C"/>
    <w:multiLevelType w:val="hybridMultilevel"/>
    <w:tmpl w:val="CEE26D5A"/>
    <w:lvl w:ilvl="0" w:tplc="7AB00D90">
      <w:numFmt w:val="bullet"/>
      <w:lvlText w:val=""/>
      <w:lvlJc w:val="left"/>
      <w:pPr>
        <w:ind w:left="816" w:hanging="456"/>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7663"/>
    <w:multiLevelType w:val="multilevel"/>
    <w:tmpl w:val="F260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3E13"/>
    <w:multiLevelType w:val="multilevel"/>
    <w:tmpl w:val="1FE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06801"/>
    <w:multiLevelType w:val="multilevel"/>
    <w:tmpl w:val="581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F25DA"/>
    <w:multiLevelType w:val="hybridMultilevel"/>
    <w:tmpl w:val="D1044274"/>
    <w:lvl w:ilvl="0" w:tplc="7AB00D90">
      <w:numFmt w:val="bullet"/>
      <w:lvlText w:val=""/>
      <w:lvlJc w:val="left"/>
      <w:pPr>
        <w:ind w:left="1176" w:hanging="456"/>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286E87"/>
    <w:multiLevelType w:val="hybridMultilevel"/>
    <w:tmpl w:val="604E2E9A"/>
    <w:lvl w:ilvl="0" w:tplc="04090001">
      <w:start w:val="1"/>
      <w:numFmt w:val="bullet"/>
      <w:lvlText w:val=""/>
      <w:lvlJc w:val="left"/>
      <w:pPr>
        <w:ind w:left="1176" w:hanging="456"/>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41E1608"/>
    <w:multiLevelType w:val="multilevel"/>
    <w:tmpl w:val="E0E0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84067"/>
    <w:multiLevelType w:val="multilevel"/>
    <w:tmpl w:val="F04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5468D"/>
    <w:multiLevelType w:val="multilevel"/>
    <w:tmpl w:val="97E6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02DAF"/>
    <w:multiLevelType w:val="multilevel"/>
    <w:tmpl w:val="BBB2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703A9"/>
    <w:multiLevelType w:val="multilevel"/>
    <w:tmpl w:val="3980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47951"/>
    <w:multiLevelType w:val="hybridMultilevel"/>
    <w:tmpl w:val="D256B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3088331">
    <w:abstractNumId w:val="11"/>
  </w:num>
  <w:num w:numId="2" w16cid:durableId="1267882411">
    <w:abstractNumId w:val="0"/>
  </w:num>
  <w:num w:numId="3" w16cid:durableId="1571310671">
    <w:abstractNumId w:val="4"/>
  </w:num>
  <w:num w:numId="4" w16cid:durableId="2066366852">
    <w:abstractNumId w:val="5"/>
  </w:num>
  <w:num w:numId="5" w16cid:durableId="1199204685">
    <w:abstractNumId w:val="6"/>
  </w:num>
  <w:num w:numId="6" w16cid:durableId="850097440">
    <w:abstractNumId w:val="1"/>
  </w:num>
  <w:num w:numId="7" w16cid:durableId="1965699253">
    <w:abstractNumId w:val="2"/>
  </w:num>
  <w:num w:numId="8" w16cid:durableId="1417095395">
    <w:abstractNumId w:val="8"/>
  </w:num>
  <w:num w:numId="9" w16cid:durableId="178155242">
    <w:abstractNumId w:val="9"/>
  </w:num>
  <w:num w:numId="10" w16cid:durableId="987318250">
    <w:abstractNumId w:val="7"/>
  </w:num>
  <w:num w:numId="11" w16cid:durableId="1361122997">
    <w:abstractNumId w:val="3"/>
  </w:num>
  <w:num w:numId="12" w16cid:durableId="51978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46"/>
    <w:rsid w:val="00143158"/>
    <w:rsid w:val="002C7296"/>
    <w:rsid w:val="004C11CC"/>
    <w:rsid w:val="00854906"/>
    <w:rsid w:val="008D3D73"/>
    <w:rsid w:val="00931846"/>
    <w:rsid w:val="00971A69"/>
    <w:rsid w:val="00AF17D4"/>
    <w:rsid w:val="00DE663A"/>
    <w:rsid w:val="00EA077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EA2B"/>
  <w15:chartTrackingRefBased/>
  <w15:docId w15:val="{DB7C7B61-E7A2-4A22-B0FD-751D2F9C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846"/>
    <w:rPr>
      <w:rFonts w:eastAsiaTheme="majorEastAsia" w:cstheme="majorBidi"/>
      <w:color w:val="272727" w:themeColor="text1" w:themeTint="D8"/>
    </w:rPr>
  </w:style>
  <w:style w:type="paragraph" w:styleId="Title">
    <w:name w:val="Title"/>
    <w:basedOn w:val="Normal"/>
    <w:next w:val="Normal"/>
    <w:link w:val="TitleChar"/>
    <w:uiPriority w:val="10"/>
    <w:qFormat/>
    <w:rsid w:val="00931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84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846"/>
    <w:pPr>
      <w:spacing w:before="160"/>
      <w:jc w:val="center"/>
    </w:pPr>
    <w:rPr>
      <w:i/>
      <w:iCs/>
      <w:color w:val="404040" w:themeColor="text1" w:themeTint="BF"/>
    </w:rPr>
  </w:style>
  <w:style w:type="character" w:customStyle="1" w:styleId="QuoteChar">
    <w:name w:val="Quote Char"/>
    <w:basedOn w:val="DefaultParagraphFont"/>
    <w:link w:val="Quote"/>
    <w:uiPriority w:val="29"/>
    <w:rsid w:val="00931846"/>
    <w:rPr>
      <w:i/>
      <w:iCs/>
      <w:color w:val="404040" w:themeColor="text1" w:themeTint="BF"/>
    </w:rPr>
  </w:style>
  <w:style w:type="paragraph" w:styleId="ListParagraph">
    <w:name w:val="List Paragraph"/>
    <w:basedOn w:val="Normal"/>
    <w:uiPriority w:val="34"/>
    <w:qFormat/>
    <w:rsid w:val="00931846"/>
    <w:pPr>
      <w:ind w:left="720"/>
      <w:contextualSpacing/>
    </w:pPr>
  </w:style>
  <w:style w:type="character" w:styleId="IntenseEmphasis">
    <w:name w:val="Intense Emphasis"/>
    <w:basedOn w:val="DefaultParagraphFont"/>
    <w:uiPriority w:val="21"/>
    <w:qFormat/>
    <w:rsid w:val="00931846"/>
    <w:rPr>
      <w:i/>
      <w:iCs/>
      <w:color w:val="2F5496" w:themeColor="accent1" w:themeShade="BF"/>
    </w:rPr>
  </w:style>
  <w:style w:type="paragraph" w:styleId="IntenseQuote">
    <w:name w:val="Intense Quote"/>
    <w:basedOn w:val="Normal"/>
    <w:next w:val="Normal"/>
    <w:link w:val="IntenseQuoteChar"/>
    <w:uiPriority w:val="30"/>
    <w:qFormat/>
    <w:rsid w:val="00931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846"/>
    <w:rPr>
      <w:i/>
      <w:iCs/>
      <w:color w:val="2F5496" w:themeColor="accent1" w:themeShade="BF"/>
    </w:rPr>
  </w:style>
  <w:style w:type="character" w:styleId="IntenseReference">
    <w:name w:val="Intense Reference"/>
    <w:basedOn w:val="DefaultParagraphFont"/>
    <w:uiPriority w:val="32"/>
    <w:qFormat/>
    <w:rsid w:val="00931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2026-01-19T22:42:00Z</dcterms:created>
  <dcterms:modified xsi:type="dcterms:W3CDTF">2026-01-19T23:45:00Z</dcterms:modified>
</cp:coreProperties>
</file>