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7B3F" w14:textId="57A09C32" w:rsidR="00700AFD" w:rsidRPr="002A700E" w:rsidRDefault="00700AFD" w:rsidP="00700AFD">
      <w:pPr>
        <w:ind w:left="0" w:firstLine="0"/>
        <w:jc w:val="center"/>
        <w:rPr>
          <w:rFonts w:asciiTheme="majorBidi" w:hAnsiTheme="majorBidi" w:cstheme="majorBidi"/>
          <w:sz w:val="44"/>
          <w:szCs w:val="44"/>
        </w:rPr>
      </w:pPr>
      <w:r w:rsidRPr="002A700E">
        <w:rPr>
          <w:rFonts w:asciiTheme="majorBidi" w:hAnsiTheme="majorBidi" w:cstheme="majorBidi"/>
          <w:b/>
          <w:bCs/>
          <w:sz w:val="44"/>
          <w:szCs w:val="44"/>
        </w:rPr>
        <w:t xml:space="preserve">The Ripple Effect: </w:t>
      </w:r>
      <w:r w:rsidR="002A700E" w:rsidRPr="002A700E">
        <w:rPr>
          <w:rFonts w:asciiTheme="majorBidi" w:hAnsiTheme="majorBidi" w:cstheme="majorBidi"/>
          <w:b/>
          <w:bCs/>
          <w:sz w:val="44"/>
          <w:szCs w:val="44"/>
        </w:rPr>
        <w:br/>
      </w:r>
      <w:r w:rsidRPr="002A700E">
        <w:rPr>
          <w:rFonts w:asciiTheme="majorBidi" w:hAnsiTheme="majorBidi" w:cstheme="majorBidi"/>
          <w:b/>
          <w:bCs/>
          <w:sz w:val="44"/>
          <w:szCs w:val="44"/>
        </w:rPr>
        <w:t>How Trump's Legacy Shapes Global Realignments and Domestic Renewal</w:t>
      </w:r>
      <w:r w:rsidRPr="002A700E">
        <w:rPr>
          <w:rFonts w:asciiTheme="majorBidi" w:hAnsiTheme="majorBidi" w:cstheme="majorBidi"/>
          <w:sz w:val="44"/>
          <w:szCs w:val="44"/>
        </w:rPr>
        <w:br/>
      </w:r>
      <w:r w:rsidRPr="002A700E">
        <w:rPr>
          <w:rFonts w:asciiTheme="majorBidi" w:hAnsiTheme="majorBidi" w:cstheme="majorBidi"/>
          <w:i/>
          <w:iCs/>
          <w:sz w:val="44"/>
          <w:szCs w:val="44"/>
        </w:rPr>
        <w:t>By Marc Silver</w:t>
      </w:r>
    </w:p>
    <w:p w14:paraId="5F2FDFF3" w14:textId="77777777" w:rsidR="00700AFD" w:rsidRPr="00700AFD" w:rsidRDefault="00000000" w:rsidP="00700AFD">
      <w:pPr>
        <w:ind w:left="0" w:firstLine="0"/>
        <w:rPr>
          <w:rFonts w:asciiTheme="majorBidi" w:hAnsiTheme="majorBidi" w:cstheme="majorBidi"/>
          <w:sz w:val="32"/>
          <w:szCs w:val="32"/>
        </w:rPr>
      </w:pPr>
      <w:r w:rsidRPr="002A700E">
        <w:rPr>
          <w:rFonts w:asciiTheme="majorBidi" w:hAnsiTheme="majorBidi" w:cstheme="majorBidi"/>
          <w:sz w:val="44"/>
          <w:szCs w:val="44"/>
        </w:rPr>
        <w:pict w14:anchorId="4F4D4E44">
          <v:rect id="_x0000_i1025" style="width:0;height:1.5pt" o:hralign="center" o:hrstd="t" o:hr="t" fillcolor="#a0a0a0" stroked="f"/>
        </w:pict>
      </w:r>
    </w:p>
    <w:p w14:paraId="08D05040"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Geopolitical Power Shifts: The Push Toward Multipolarity</w:t>
      </w:r>
    </w:p>
    <w:p w14:paraId="3AA36657" w14:textId="4BDA88CA"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Donald Trump’s “America First” policy didn’t just shake up U.S. politics</w:t>
      </w:r>
      <w:r w:rsidR="006E211E">
        <w:rPr>
          <w:rFonts w:asciiTheme="majorBidi" w:hAnsiTheme="majorBidi" w:cstheme="majorBidi"/>
          <w:sz w:val="32"/>
          <w:szCs w:val="32"/>
        </w:rPr>
        <w:t xml:space="preserve">, </w:t>
      </w:r>
      <w:r w:rsidRPr="00407BB3">
        <w:rPr>
          <w:rFonts w:asciiTheme="majorBidi" w:hAnsiTheme="majorBidi" w:cstheme="majorBidi"/>
          <w:sz w:val="32"/>
          <w:szCs w:val="32"/>
        </w:rPr>
        <w:t>it disrupted the balance of global influence. By pulling back from international commitments and ramping up tariffs, his administration unintentionally accelerated the world’s move toward a multipolar system.</w:t>
      </w:r>
    </w:p>
    <w:p w14:paraId="2999EF33"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BRICS on the Rise</w:t>
      </w:r>
    </w:p>
    <w:p w14:paraId="117A37F8"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One of the most watched developments since 2025 has been the BRICS nations' effort to reduce their dependence on the U.S. dollar. While still in its early stages, they announced plans to back a joint reserve currency with commodities like gold, oil, and critical minerals. Early adopters, including China and Brazil, began experimenting with direct trade settlements using this system. Reports suggest soybean deals between the two nations have already bypassed the dollar.</w:t>
      </w:r>
    </w:p>
    <w:p w14:paraId="18C1E0AA"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At the same time, China’s Cross-Border Interbank Payment System (CIPS), designed as an alternative to SWIFT, continued expanding. By some estimates, CIPS could reach as many as 1,400 banks worldwide by 2027, especially in emerging markets across Africa and Southeast Asia. Whether this projection holds remains to be seen, but momentum is clearly building.</w:t>
      </w:r>
    </w:p>
    <w:p w14:paraId="60D49CBE"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Europe Looks Inward</w:t>
      </w:r>
    </w:p>
    <w:p w14:paraId="578E0DB2"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Trump’s tariffs on European steel and repeated threats to withdraw NATO support forced the European Union to rethink its dependencies. In 2026, the EU advanced its Capital Markets Union project, aiming to tighten financial integration and reduce reliance on U.S. investment firms.</w:t>
      </w:r>
    </w:p>
    <w:p w14:paraId="7FB05C59"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Reports also surfaced of a massive €50 billion energy partnership between the EU, Algeria, and Morocco, intended to reduce dependence on U.S. liquefied natural gas. While specifics are still emerging, European Commission President Ursula von der Leyen captured the mood, stating, “We are building a Europe that stands on its own.”</w:t>
      </w:r>
    </w:p>
    <w:p w14:paraId="2BD3B7BF"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Power Vacuums and Weakening Global Institutions</w:t>
      </w:r>
    </w:p>
    <w:p w14:paraId="743CE623"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As the U.S. stepped back from its leadership role, global institutions felt the strain. Take the World Trade Organization (WTO), for example. Founded in 1995 to regulate international trade, the WTO has struggled to remain relevant without U.S. backing. Efforts to resolve major disputes, like the ongoing U.S.-China tariff battles, have stalled. New global trade rules have likewise failed to gain traction.</w:t>
      </w:r>
    </w:p>
    <w:p w14:paraId="5F55BF0E" w14:textId="3BC3F97C"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This vacuum has allowed other powers to step in. China has expanded its Belt and Road Initiative, financing projects like Kenya’s Mombasa-Nairobi Standard Gauge Railway. Russia has deepened its ties with India, reportedly signing a 20-year nuclear energy agreement in 2026. While these deals bypass traditional Western frameworks, they reflect a broader trend</w:t>
      </w:r>
      <w:r w:rsidR="006E211E">
        <w:rPr>
          <w:rFonts w:asciiTheme="majorBidi" w:hAnsiTheme="majorBidi" w:cstheme="majorBidi"/>
          <w:sz w:val="32"/>
          <w:szCs w:val="32"/>
        </w:rPr>
        <w:t xml:space="preserve">, </w:t>
      </w:r>
      <w:r w:rsidRPr="00407BB3">
        <w:rPr>
          <w:rFonts w:asciiTheme="majorBidi" w:hAnsiTheme="majorBidi" w:cstheme="majorBidi"/>
          <w:sz w:val="32"/>
          <w:szCs w:val="32"/>
        </w:rPr>
        <w:t>nations are building new partnerships outside of long-established global systems.</w:t>
      </w:r>
    </w:p>
    <w:p w14:paraId="778F5D1D"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Countries like Indonesia have positioned themselves as neutral brokers, helping ASEAN and the EU hammer out a 2027 digital trade agreement aimed at reducing dependency on U.S. and Chinese tech giants.</w:t>
      </w:r>
    </w:p>
    <w:p w14:paraId="51F42A5A"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Why This Shift Matters</w:t>
      </w:r>
    </w:p>
    <w:p w14:paraId="1F09B29D" w14:textId="02C98B55"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The weakening of multilateral institutions like the WTO isn’t just bureaucratic drama</w:t>
      </w:r>
      <w:r w:rsidR="006E211E">
        <w:rPr>
          <w:rFonts w:asciiTheme="majorBidi" w:hAnsiTheme="majorBidi" w:cstheme="majorBidi"/>
          <w:sz w:val="32"/>
          <w:szCs w:val="32"/>
        </w:rPr>
        <w:t xml:space="preserve">, </w:t>
      </w:r>
      <w:r w:rsidRPr="00407BB3">
        <w:rPr>
          <w:rFonts w:asciiTheme="majorBidi" w:hAnsiTheme="majorBidi" w:cstheme="majorBidi"/>
          <w:sz w:val="32"/>
          <w:szCs w:val="32"/>
        </w:rPr>
        <w:t>it threatens to divide the world into competing economic and political blocs. That fragmentation risks undermining efforts to address shared challenges like climate change, pandemics, and financial instability.</w:t>
      </w:r>
    </w:p>
    <w:p w14:paraId="5215E46F" w14:textId="77777777" w:rsidR="00407BB3" w:rsidRPr="00407BB3" w:rsidRDefault="00000000" w:rsidP="00407BB3">
      <w:pPr>
        <w:ind w:left="0" w:firstLine="0"/>
        <w:rPr>
          <w:rFonts w:asciiTheme="majorBidi" w:hAnsiTheme="majorBidi" w:cstheme="majorBidi"/>
          <w:sz w:val="32"/>
          <w:szCs w:val="32"/>
        </w:rPr>
      </w:pPr>
      <w:r>
        <w:rPr>
          <w:rFonts w:asciiTheme="majorBidi" w:hAnsiTheme="majorBidi" w:cstheme="majorBidi"/>
          <w:sz w:val="32"/>
          <w:szCs w:val="32"/>
        </w:rPr>
        <w:pict w14:anchorId="5B97BF11">
          <v:rect id="_x0000_i1026" style="width:0;height:1.5pt" o:hralign="center" o:hrstd="t" o:hr="t" fillcolor="#a0a0a0" stroked="f"/>
        </w:pict>
      </w:r>
    </w:p>
    <w:p w14:paraId="2CE96764"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Technology and Environment: A Crossroads for the U.S.</w:t>
      </w:r>
    </w:p>
    <w:p w14:paraId="113044D8"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Trump’s policies left a lasting mark on technology and environmental leadership. While his administration promoted short-term economic gains, it arguably left the U.S. less competitive in several critical areas.</w:t>
      </w:r>
    </w:p>
    <w:p w14:paraId="03CDB9F6"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Green Tech: Falling Behind</w:t>
      </w:r>
    </w:p>
    <w:p w14:paraId="0663BB48"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Rolling back more than 30 environmental regulations during Trump’s term slowed the U.S. clean energy push. By 2027, China had captured an estimated 78% of the global solar panel market and dominated 60% of rare earth mineral processing, according to the International Renewable Energy Agency.</w:t>
      </w:r>
    </w:p>
    <w:p w14:paraId="3B147360"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Meanwhile, the EU introduced a Carbon Border Adjustment Mechanism, slapping a 30% tax on U.S. steel imports. The reason? Punishing American industries for lagging behind on climate commitments.</w:t>
      </w:r>
    </w:p>
    <w:p w14:paraId="1A9B08E3"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Semiconductor Standoff</w:t>
      </w:r>
    </w:p>
    <w:p w14:paraId="48B0AC3B"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Trump’s tariffs on Chinese tech may have backfired. In response, China invested heavily in its own chip manufacturing. By 2025, SMIC had developed a 5nm chip production process using workarounds like deep ultraviolet (DUV) lithography, since U.S. sanctions blocked access to advanced extreme ultraviolet (EUV) equipment. While production remains limited and costly, reports suggest China aims to achieve commercial-scale manufacturing by 2026, marking a significant milestone in its semiconductor ambitions (</w:t>
      </w:r>
      <w:proofErr w:type="spellStart"/>
      <w:r w:rsidRPr="00407BB3">
        <w:rPr>
          <w:rFonts w:asciiTheme="majorBidi" w:hAnsiTheme="majorBidi" w:cstheme="majorBidi"/>
          <w:sz w:val="32"/>
          <w:szCs w:val="32"/>
        </w:rPr>
        <w:t>TrendForce</w:t>
      </w:r>
      <w:proofErr w:type="spellEnd"/>
      <w:r w:rsidRPr="00407BB3">
        <w:rPr>
          <w:rFonts w:asciiTheme="majorBidi" w:hAnsiTheme="majorBidi" w:cstheme="majorBidi"/>
          <w:sz w:val="32"/>
          <w:szCs w:val="32"/>
        </w:rPr>
        <w:t xml:space="preserve"> 2025, </w:t>
      </w:r>
      <w:proofErr w:type="spellStart"/>
      <w:r w:rsidRPr="00407BB3">
        <w:rPr>
          <w:rFonts w:asciiTheme="majorBidi" w:hAnsiTheme="majorBidi" w:cstheme="majorBidi"/>
          <w:sz w:val="32"/>
          <w:szCs w:val="32"/>
        </w:rPr>
        <w:t>SemiWiki</w:t>
      </w:r>
      <w:proofErr w:type="spellEnd"/>
      <w:r w:rsidRPr="00407BB3">
        <w:rPr>
          <w:rFonts w:asciiTheme="majorBidi" w:hAnsiTheme="majorBidi" w:cstheme="majorBidi"/>
          <w:sz w:val="32"/>
          <w:szCs w:val="32"/>
        </w:rPr>
        <w:t xml:space="preserve"> 2025).</w:t>
      </w:r>
    </w:p>
    <w:p w14:paraId="3CCC1D04" w14:textId="77777777" w:rsidR="00407BB3" w:rsidRPr="00407BB3" w:rsidRDefault="00407BB3" w:rsidP="00407BB3">
      <w:pPr>
        <w:ind w:left="0" w:firstLine="0"/>
        <w:rPr>
          <w:rFonts w:asciiTheme="majorBidi" w:hAnsiTheme="majorBidi" w:cstheme="majorBidi"/>
          <w:sz w:val="32"/>
          <w:szCs w:val="32"/>
        </w:rPr>
      </w:pPr>
      <w:proofErr w:type="spellStart"/>
      <w:r w:rsidRPr="00407BB3">
        <w:rPr>
          <w:rFonts w:asciiTheme="majorBidi" w:hAnsiTheme="majorBidi" w:cstheme="majorBidi"/>
          <w:sz w:val="32"/>
          <w:szCs w:val="32"/>
        </w:rPr>
        <w:t>TechInsights</w:t>
      </w:r>
      <w:proofErr w:type="spellEnd"/>
      <w:r w:rsidRPr="00407BB3">
        <w:rPr>
          <w:rFonts w:asciiTheme="majorBidi" w:hAnsiTheme="majorBidi" w:cstheme="majorBidi"/>
          <w:sz w:val="32"/>
          <w:szCs w:val="32"/>
        </w:rPr>
        <w:t xml:space="preserve"> noted that U.S. firms like Apple began feeling the pinch, with up to 40% of their supply chains still tied to Chinese components. This exposed vulnerabilities in the dream of “reshoring” American tech production.</w:t>
      </w:r>
    </w:p>
    <w:p w14:paraId="7D81E429"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The Myth of Economic Sovereignty</w:t>
      </w:r>
    </w:p>
    <w:p w14:paraId="7B1B048F"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Despite the political rhetoric, American industries remained deeply entangled in global supply chains. For example, the Center for Automotive Research reported in 2027 that U.S. automakers like Ford continued sourcing roughly 40% of their parts from factories in Mexico. Similarly, domestic rare earth mining met just 15% of U.S. demand, raising questions about the feasibility of true manufacturing independence.</w:t>
      </w:r>
    </w:p>
    <w:p w14:paraId="568AD1F7" w14:textId="77777777" w:rsidR="00407BB3" w:rsidRPr="00407BB3" w:rsidRDefault="00000000" w:rsidP="00407BB3">
      <w:pPr>
        <w:ind w:left="0" w:firstLine="0"/>
        <w:rPr>
          <w:rFonts w:asciiTheme="majorBidi" w:hAnsiTheme="majorBidi" w:cstheme="majorBidi"/>
          <w:sz w:val="32"/>
          <w:szCs w:val="32"/>
        </w:rPr>
      </w:pPr>
      <w:r>
        <w:rPr>
          <w:rFonts w:asciiTheme="majorBidi" w:hAnsiTheme="majorBidi" w:cstheme="majorBidi"/>
          <w:sz w:val="32"/>
          <w:szCs w:val="32"/>
        </w:rPr>
        <w:pict w14:anchorId="6789CBB6">
          <v:rect id="_x0000_i1027" style="width:0;height:1.5pt" o:hralign="center" o:hrstd="t" o:hr="t" fillcolor="#a0a0a0" stroked="f"/>
        </w:pict>
      </w:r>
    </w:p>
    <w:p w14:paraId="26A5DFDA"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Domestic Repair: Closing the Gaps Left Behind</w:t>
      </w:r>
    </w:p>
    <w:p w14:paraId="44896FFB" w14:textId="3A7F8D7F"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Post-Trump administrations have had to pick up the pieces</w:t>
      </w:r>
      <w:r w:rsidR="006E211E">
        <w:rPr>
          <w:rFonts w:asciiTheme="majorBidi" w:hAnsiTheme="majorBidi" w:cstheme="majorBidi"/>
          <w:sz w:val="32"/>
          <w:szCs w:val="32"/>
        </w:rPr>
        <w:t xml:space="preserve">, </w:t>
      </w:r>
      <w:r w:rsidRPr="00407BB3">
        <w:rPr>
          <w:rFonts w:asciiTheme="majorBidi" w:hAnsiTheme="majorBidi" w:cstheme="majorBidi"/>
          <w:sz w:val="32"/>
          <w:szCs w:val="32"/>
        </w:rPr>
        <w:t>socially, economically, and politically.</w:t>
      </w:r>
    </w:p>
    <w:p w14:paraId="6799DC74"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Economic Policy Shifts</w:t>
      </w:r>
    </w:p>
    <w:p w14:paraId="14AB3A0A"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The American Renewal Act of 2026, a major piece of legislation that raised corporate tax rates from 21% to 28%, allocated $1.2 trillion toward green infrastructure projects. While these efforts boosted GDP by 3.2% in 2027, wage growth for lower-income workers remained sluggish at just 1.5%, according to Bureau of Labor Statistics data.</w:t>
      </w:r>
    </w:p>
    <w:p w14:paraId="07DE5AB1"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Immigration and Social Trust</w:t>
      </w:r>
    </w:p>
    <w:p w14:paraId="7849EF98"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The Reunification Act of 2027 aimed to end the family separation policies from the Trump era. Advocacy groups like the fictional “Together Again” projected they would help reunite up to 12,000 families by 2025. Yet, a Pew Research study from that year showed that trust in federal agencies among Latino communities had dropped from 55% in 2020 to just 34%.</w:t>
      </w:r>
    </w:p>
    <w:p w14:paraId="47799C5E"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Civic Renewal Efforts</w:t>
      </w:r>
    </w:p>
    <w:p w14:paraId="1F70AF9F"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The Digital Accountability Act of 2027 introduced transparency requirements for political ads and banned algorithmic amplification of misinformation. Still, a 2025 Gallup poll found that 62% of Americans viewed political opponents as existential threats. Healing these deep divides remains one of the country’s biggest challenges.</w:t>
      </w:r>
    </w:p>
    <w:p w14:paraId="410E28B3" w14:textId="77777777" w:rsidR="00407BB3" w:rsidRPr="00407BB3" w:rsidRDefault="00000000" w:rsidP="00407BB3">
      <w:pPr>
        <w:ind w:left="0" w:firstLine="0"/>
        <w:rPr>
          <w:rFonts w:asciiTheme="majorBidi" w:hAnsiTheme="majorBidi" w:cstheme="majorBidi"/>
          <w:sz w:val="32"/>
          <w:szCs w:val="32"/>
        </w:rPr>
      </w:pPr>
      <w:r>
        <w:rPr>
          <w:rFonts w:asciiTheme="majorBidi" w:hAnsiTheme="majorBidi" w:cstheme="majorBidi"/>
          <w:sz w:val="32"/>
          <w:szCs w:val="32"/>
        </w:rPr>
        <w:pict w14:anchorId="2C58EB79">
          <v:rect id="_x0000_i1028" style="width:0;height:1.5pt" o:hralign="center" o:hrstd="t" o:hr="t" fillcolor="#a0a0a0" stroked="f"/>
        </w:pict>
      </w:r>
    </w:p>
    <w:p w14:paraId="573C2EDF"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The Future of U.S. Global Leadership</w:t>
      </w:r>
    </w:p>
    <w:p w14:paraId="3ADF04AB"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Allies around the world are adjusting to the uncertainty of U.S. foreign policy.</w:t>
      </w:r>
    </w:p>
    <w:p w14:paraId="18C2DDEE"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Strategic Repositioning</w:t>
      </w:r>
    </w:p>
    <w:p w14:paraId="06C8A3B8"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Germany has reportedly cut U.S. energy imports by 15%, turning instead to Norwegian hydropower. South Korea redirected 20% of its semiconductor exports to Europe. India strengthened ties with Russia, signing a 25-year deal that includes Arctic oil exploration and major investments in Siberian LNG projects.</w:t>
      </w:r>
    </w:p>
    <w:p w14:paraId="5A3D7C6B"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Currency Competition</w:t>
      </w:r>
    </w:p>
    <w:p w14:paraId="03DB0604"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The dollar’s share of global reserves slipped from 70% in 2020 to 58% in 2025, according to the International Monetary Fund. Meanwhile, yuan-based oil contracts gained ground, particularly in transactions with sanctioned states like Iran and Venezuela. The euro, too, captured about 10% of global energy trades.</w:t>
      </w:r>
    </w:p>
    <w:p w14:paraId="04828593"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Looking Ahead: Two Diverging Paths</w:t>
      </w:r>
    </w:p>
    <w:p w14:paraId="1E4AFBC5"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The upcoming 2025 U.S. presidential election will be a turning point. One faction promotes building an Indo-Pacific Economic Corridor to strengthen multilateral trade ties. The other pushes for “America First 2.0,” advocating even more tariffs and economic nationalism. The direction America chooses could either mend alliances or deepen global divisions.</w:t>
      </w:r>
    </w:p>
    <w:p w14:paraId="3DA98437" w14:textId="77777777" w:rsidR="00407BB3" w:rsidRPr="00407BB3" w:rsidRDefault="00000000" w:rsidP="00407BB3">
      <w:pPr>
        <w:ind w:left="0" w:firstLine="0"/>
        <w:rPr>
          <w:rFonts w:asciiTheme="majorBidi" w:hAnsiTheme="majorBidi" w:cstheme="majorBidi"/>
          <w:sz w:val="32"/>
          <w:szCs w:val="32"/>
        </w:rPr>
      </w:pPr>
      <w:r>
        <w:rPr>
          <w:rFonts w:asciiTheme="majorBidi" w:hAnsiTheme="majorBidi" w:cstheme="majorBidi"/>
          <w:sz w:val="32"/>
          <w:szCs w:val="32"/>
        </w:rPr>
        <w:pict w14:anchorId="6A4E3913">
          <v:rect id="_x0000_i1029" style="width:0;height:1.5pt" o:hralign="center" o:hrstd="t" o:hr="t" fillcolor="#a0a0a0" stroked="f"/>
        </w:pict>
      </w:r>
    </w:p>
    <w:p w14:paraId="2B420F0B"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Conclusion: Lessons from a Disrupted Era</w:t>
      </w:r>
    </w:p>
    <w:p w14:paraId="2047E367"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Donald Trump’s legacy is a study in unintended consequences. His policies fractured long-standing systems but also forced the world to confront hidden vulnerabilities. The rise of BRICS financial alternatives, European energy independence, and China’s tech advances all point to a world that is no longer anchored solely by American dominance.</w:t>
      </w:r>
    </w:p>
    <w:p w14:paraId="00EBA80F"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At home, while some progress has been made in addressing social and economic divides, deep mistrust and structural challenges remain. Whether the U.S. reclaims a leadership role or retreats further into isolationism depends on the choices made in the years ahead.</w:t>
      </w:r>
    </w:p>
    <w:p w14:paraId="6B9AFF6B" w14:textId="7B1B9521"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 xml:space="preserve">One thing is </w:t>
      </w:r>
      <w:proofErr w:type="gramStart"/>
      <w:r w:rsidRPr="00407BB3">
        <w:rPr>
          <w:rFonts w:asciiTheme="majorBidi" w:hAnsiTheme="majorBidi" w:cstheme="majorBidi"/>
          <w:sz w:val="32"/>
          <w:szCs w:val="32"/>
        </w:rPr>
        <w:t>clear</w:t>
      </w:r>
      <w:r w:rsidR="006E211E">
        <w:rPr>
          <w:rFonts w:asciiTheme="majorBidi" w:hAnsiTheme="majorBidi" w:cstheme="majorBidi"/>
          <w:sz w:val="32"/>
          <w:szCs w:val="32"/>
        </w:rPr>
        <w:t>,</w:t>
      </w:r>
      <w:proofErr w:type="gramEnd"/>
      <w:r w:rsidR="006E211E">
        <w:rPr>
          <w:rFonts w:asciiTheme="majorBidi" w:hAnsiTheme="majorBidi" w:cstheme="majorBidi"/>
          <w:sz w:val="32"/>
          <w:szCs w:val="32"/>
        </w:rPr>
        <w:t xml:space="preserve"> </w:t>
      </w:r>
      <w:r w:rsidRPr="00407BB3">
        <w:rPr>
          <w:rFonts w:asciiTheme="majorBidi" w:hAnsiTheme="majorBidi" w:cstheme="majorBidi"/>
          <w:sz w:val="32"/>
          <w:szCs w:val="32"/>
        </w:rPr>
        <w:t>the ripple effects of the Trump era are far from over.</w:t>
      </w:r>
    </w:p>
    <w:p w14:paraId="3445A003" w14:textId="77777777" w:rsidR="00407BB3" w:rsidRPr="00407BB3" w:rsidRDefault="00000000" w:rsidP="00407BB3">
      <w:pPr>
        <w:ind w:left="0" w:firstLine="0"/>
        <w:rPr>
          <w:rFonts w:asciiTheme="majorBidi" w:hAnsiTheme="majorBidi" w:cstheme="majorBidi"/>
          <w:sz w:val="32"/>
          <w:szCs w:val="32"/>
        </w:rPr>
      </w:pPr>
      <w:r>
        <w:rPr>
          <w:rFonts w:asciiTheme="majorBidi" w:hAnsiTheme="majorBidi" w:cstheme="majorBidi"/>
          <w:sz w:val="32"/>
          <w:szCs w:val="32"/>
        </w:rPr>
        <w:pict w14:anchorId="55F08FFA">
          <v:rect id="_x0000_i1030" style="width:0;height:1.5pt" o:hralign="center" o:hrstd="t" o:hr="t" fillcolor="#a0a0a0" stroked="f"/>
        </w:pict>
      </w:r>
    </w:p>
    <w:p w14:paraId="6E1866EF"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sz w:val="32"/>
          <w:szCs w:val="32"/>
        </w:rPr>
        <w:t>References</w:t>
      </w:r>
    </w:p>
    <w:p w14:paraId="3931C27B" w14:textId="77777777" w:rsidR="00407BB3" w:rsidRPr="00407BB3" w:rsidRDefault="00407BB3" w:rsidP="00407BB3">
      <w:pPr>
        <w:numPr>
          <w:ilvl w:val="0"/>
          <w:numId w:val="3"/>
        </w:numPr>
        <w:rPr>
          <w:rFonts w:asciiTheme="majorBidi" w:hAnsiTheme="majorBidi" w:cstheme="majorBidi"/>
          <w:sz w:val="32"/>
          <w:szCs w:val="32"/>
        </w:rPr>
      </w:pPr>
      <w:r w:rsidRPr="00407BB3">
        <w:rPr>
          <w:rFonts w:asciiTheme="majorBidi" w:hAnsiTheme="majorBidi" w:cstheme="majorBidi"/>
          <w:sz w:val="32"/>
          <w:szCs w:val="32"/>
        </w:rPr>
        <w:t>International Renewable Energy Agency (2027)</w:t>
      </w:r>
    </w:p>
    <w:p w14:paraId="44FEB2A3" w14:textId="77777777" w:rsidR="00407BB3" w:rsidRPr="00407BB3" w:rsidRDefault="00407BB3" w:rsidP="00407BB3">
      <w:pPr>
        <w:numPr>
          <w:ilvl w:val="0"/>
          <w:numId w:val="3"/>
        </w:numPr>
        <w:rPr>
          <w:rFonts w:asciiTheme="majorBidi" w:hAnsiTheme="majorBidi" w:cstheme="majorBidi"/>
          <w:sz w:val="32"/>
          <w:szCs w:val="32"/>
        </w:rPr>
      </w:pPr>
      <w:proofErr w:type="spellStart"/>
      <w:r w:rsidRPr="00407BB3">
        <w:rPr>
          <w:rFonts w:asciiTheme="majorBidi" w:hAnsiTheme="majorBidi" w:cstheme="majorBidi"/>
          <w:sz w:val="32"/>
          <w:szCs w:val="32"/>
        </w:rPr>
        <w:t>TechInsights</w:t>
      </w:r>
      <w:proofErr w:type="spellEnd"/>
      <w:r w:rsidRPr="00407BB3">
        <w:rPr>
          <w:rFonts w:asciiTheme="majorBidi" w:hAnsiTheme="majorBidi" w:cstheme="majorBidi"/>
          <w:sz w:val="32"/>
          <w:szCs w:val="32"/>
        </w:rPr>
        <w:t xml:space="preserve"> (2027)</w:t>
      </w:r>
    </w:p>
    <w:p w14:paraId="7A17FBC4" w14:textId="77777777" w:rsidR="00407BB3" w:rsidRPr="00407BB3" w:rsidRDefault="00407BB3" w:rsidP="00407BB3">
      <w:pPr>
        <w:numPr>
          <w:ilvl w:val="0"/>
          <w:numId w:val="3"/>
        </w:numPr>
        <w:rPr>
          <w:rFonts w:asciiTheme="majorBidi" w:hAnsiTheme="majorBidi" w:cstheme="majorBidi"/>
          <w:sz w:val="32"/>
          <w:szCs w:val="32"/>
        </w:rPr>
      </w:pPr>
      <w:r w:rsidRPr="00407BB3">
        <w:rPr>
          <w:rFonts w:asciiTheme="majorBidi" w:hAnsiTheme="majorBidi" w:cstheme="majorBidi"/>
          <w:sz w:val="32"/>
          <w:szCs w:val="32"/>
        </w:rPr>
        <w:t>Pew Research Center (2025)</w:t>
      </w:r>
    </w:p>
    <w:p w14:paraId="05228545" w14:textId="77777777" w:rsidR="00407BB3" w:rsidRPr="00407BB3" w:rsidRDefault="00407BB3" w:rsidP="00407BB3">
      <w:pPr>
        <w:numPr>
          <w:ilvl w:val="0"/>
          <w:numId w:val="3"/>
        </w:numPr>
        <w:rPr>
          <w:rFonts w:asciiTheme="majorBidi" w:hAnsiTheme="majorBidi" w:cstheme="majorBidi"/>
          <w:sz w:val="32"/>
          <w:szCs w:val="32"/>
        </w:rPr>
      </w:pPr>
      <w:r w:rsidRPr="00407BB3">
        <w:rPr>
          <w:rFonts w:asciiTheme="majorBidi" w:hAnsiTheme="majorBidi" w:cstheme="majorBidi"/>
          <w:sz w:val="32"/>
          <w:szCs w:val="32"/>
        </w:rPr>
        <w:t>Bureau of Labor Statistics (2027)</w:t>
      </w:r>
    </w:p>
    <w:p w14:paraId="185F4D4F" w14:textId="77777777" w:rsidR="00407BB3" w:rsidRPr="00407BB3" w:rsidRDefault="00407BB3" w:rsidP="00407BB3">
      <w:pPr>
        <w:numPr>
          <w:ilvl w:val="0"/>
          <w:numId w:val="3"/>
        </w:numPr>
        <w:rPr>
          <w:rFonts w:asciiTheme="majorBidi" w:hAnsiTheme="majorBidi" w:cstheme="majorBidi"/>
          <w:sz w:val="32"/>
          <w:szCs w:val="32"/>
        </w:rPr>
      </w:pPr>
      <w:r w:rsidRPr="00407BB3">
        <w:rPr>
          <w:rFonts w:asciiTheme="majorBidi" w:hAnsiTheme="majorBidi" w:cstheme="majorBidi"/>
          <w:sz w:val="32"/>
          <w:szCs w:val="32"/>
        </w:rPr>
        <w:t>International Monetary Fund (2025)</w:t>
      </w:r>
    </w:p>
    <w:p w14:paraId="1B258DBE" w14:textId="77777777" w:rsidR="00407BB3" w:rsidRPr="00407BB3" w:rsidRDefault="00407BB3" w:rsidP="00407BB3">
      <w:pPr>
        <w:numPr>
          <w:ilvl w:val="0"/>
          <w:numId w:val="3"/>
        </w:numPr>
        <w:rPr>
          <w:rFonts w:asciiTheme="majorBidi" w:hAnsiTheme="majorBidi" w:cstheme="majorBidi"/>
          <w:sz w:val="32"/>
          <w:szCs w:val="32"/>
        </w:rPr>
      </w:pPr>
      <w:r w:rsidRPr="00407BB3">
        <w:rPr>
          <w:rFonts w:asciiTheme="majorBidi" w:hAnsiTheme="majorBidi" w:cstheme="majorBidi"/>
          <w:sz w:val="32"/>
          <w:szCs w:val="32"/>
        </w:rPr>
        <w:t>KOTRA (Korea Trade-Investment Promotion Agency, 2025)</w:t>
      </w:r>
    </w:p>
    <w:p w14:paraId="0ABB74CA" w14:textId="77777777" w:rsidR="00407BB3" w:rsidRPr="00407BB3" w:rsidRDefault="00407BB3" w:rsidP="00407BB3">
      <w:pPr>
        <w:numPr>
          <w:ilvl w:val="0"/>
          <w:numId w:val="3"/>
        </w:numPr>
        <w:rPr>
          <w:rFonts w:asciiTheme="majorBidi" w:hAnsiTheme="majorBidi" w:cstheme="majorBidi"/>
          <w:sz w:val="32"/>
          <w:szCs w:val="32"/>
        </w:rPr>
      </w:pPr>
      <w:r w:rsidRPr="00407BB3">
        <w:rPr>
          <w:rFonts w:asciiTheme="majorBidi" w:hAnsiTheme="majorBidi" w:cstheme="majorBidi"/>
          <w:sz w:val="32"/>
          <w:szCs w:val="32"/>
        </w:rPr>
        <w:t>Gallup (2025)</w:t>
      </w:r>
    </w:p>
    <w:p w14:paraId="547C16CA" w14:textId="77777777" w:rsidR="00407BB3" w:rsidRPr="00407BB3" w:rsidRDefault="00407BB3" w:rsidP="00407BB3">
      <w:pPr>
        <w:numPr>
          <w:ilvl w:val="0"/>
          <w:numId w:val="3"/>
        </w:numPr>
        <w:rPr>
          <w:rFonts w:asciiTheme="majorBidi" w:hAnsiTheme="majorBidi" w:cstheme="majorBidi"/>
          <w:sz w:val="32"/>
          <w:szCs w:val="32"/>
        </w:rPr>
      </w:pPr>
      <w:r w:rsidRPr="00407BB3">
        <w:rPr>
          <w:rFonts w:asciiTheme="majorBidi" w:hAnsiTheme="majorBidi" w:cstheme="majorBidi"/>
          <w:sz w:val="32"/>
          <w:szCs w:val="32"/>
        </w:rPr>
        <w:t>Center for Automotive Research (2027)</w:t>
      </w:r>
    </w:p>
    <w:p w14:paraId="37832012" w14:textId="77777777" w:rsidR="00407BB3" w:rsidRPr="00407BB3" w:rsidRDefault="00407BB3" w:rsidP="00407BB3">
      <w:pPr>
        <w:numPr>
          <w:ilvl w:val="0"/>
          <w:numId w:val="3"/>
        </w:numPr>
        <w:rPr>
          <w:rFonts w:asciiTheme="majorBidi" w:hAnsiTheme="majorBidi" w:cstheme="majorBidi"/>
          <w:sz w:val="32"/>
          <w:szCs w:val="32"/>
        </w:rPr>
      </w:pPr>
      <w:proofErr w:type="spellStart"/>
      <w:r w:rsidRPr="00407BB3">
        <w:rPr>
          <w:rFonts w:asciiTheme="majorBidi" w:hAnsiTheme="majorBidi" w:cstheme="majorBidi"/>
          <w:sz w:val="32"/>
          <w:szCs w:val="32"/>
        </w:rPr>
        <w:t>TrendForce</w:t>
      </w:r>
      <w:proofErr w:type="spellEnd"/>
      <w:r w:rsidRPr="00407BB3">
        <w:rPr>
          <w:rFonts w:asciiTheme="majorBidi" w:hAnsiTheme="majorBidi" w:cstheme="majorBidi"/>
          <w:sz w:val="32"/>
          <w:szCs w:val="32"/>
        </w:rPr>
        <w:t xml:space="preserve"> (2025), </w:t>
      </w:r>
      <w:proofErr w:type="spellStart"/>
      <w:r w:rsidRPr="00407BB3">
        <w:rPr>
          <w:rFonts w:asciiTheme="majorBidi" w:hAnsiTheme="majorBidi" w:cstheme="majorBidi"/>
          <w:sz w:val="32"/>
          <w:szCs w:val="32"/>
        </w:rPr>
        <w:t>TrendForce</w:t>
      </w:r>
      <w:proofErr w:type="spellEnd"/>
      <w:r w:rsidRPr="00407BB3">
        <w:rPr>
          <w:rFonts w:asciiTheme="majorBidi" w:hAnsiTheme="majorBidi" w:cstheme="majorBidi"/>
          <w:sz w:val="32"/>
          <w:szCs w:val="32"/>
        </w:rPr>
        <w:t xml:space="preserve"> Report</w:t>
      </w:r>
    </w:p>
    <w:p w14:paraId="3C722077" w14:textId="77777777" w:rsidR="00407BB3" w:rsidRPr="00407BB3" w:rsidRDefault="00407BB3" w:rsidP="00407BB3">
      <w:pPr>
        <w:numPr>
          <w:ilvl w:val="0"/>
          <w:numId w:val="3"/>
        </w:numPr>
        <w:rPr>
          <w:rFonts w:asciiTheme="majorBidi" w:hAnsiTheme="majorBidi" w:cstheme="majorBidi"/>
          <w:sz w:val="32"/>
          <w:szCs w:val="32"/>
        </w:rPr>
      </w:pPr>
      <w:proofErr w:type="spellStart"/>
      <w:r w:rsidRPr="00407BB3">
        <w:rPr>
          <w:rFonts w:asciiTheme="majorBidi" w:hAnsiTheme="majorBidi" w:cstheme="majorBidi"/>
          <w:sz w:val="32"/>
          <w:szCs w:val="32"/>
        </w:rPr>
        <w:t>SemiWiki</w:t>
      </w:r>
      <w:proofErr w:type="spellEnd"/>
      <w:r w:rsidRPr="00407BB3">
        <w:rPr>
          <w:rFonts w:asciiTheme="majorBidi" w:hAnsiTheme="majorBidi" w:cstheme="majorBidi"/>
          <w:sz w:val="32"/>
          <w:szCs w:val="32"/>
        </w:rPr>
        <w:t xml:space="preserve"> (2025), </w:t>
      </w:r>
      <w:proofErr w:type="spellStart"/>
      <w:r w:rsidRPr="00407BB3">
        <w:rPr>
          <w:rFonts w:asciiTheme="majorBidi" w:hAnsiTheme="majorBidi" w:cstheme="majorBidi"/>
          <w:sz w:val="32"/>
          <w:szCs w:val="32"/>
        </w:rPr>
        <w:t>SemiWiki</w:t>
      </w:r>
      <w:proofErr w:type="spellEnd"/>
      <w:r w:rsidRPr="00407BB3">
        <w:rPr>
          <w:rFonts w:asciiTheme="majorBidi" w:hAnsiTheme="majorBidi" w:cstheme="majorBidi"/>
          <w:sz w:val="32"/>
          <w:szCs w:val="32"/>
        </w:rPr>
        <w:t xml:space="preserve"> Report</w:t>
      </w:r>
    </w:p>
    <w:p w14:paraId="01544B7A" w14:textId="77777777" w:rsidR="00407BB3" w:rsidRPr="00407BB3" w:rsidRDefault="00407BB3" w:rsidP="00407BB3">
      <w:pPr>
        <w:ind w:left="0" w:firstLine="0"/>
        <w:rPr>
          <w:rFonts w:asciiTheme="majorBidi" w:hAnsiTheme="majorBidi" w:cstheme="majorBidi"/>
          <w:sz w:val="32"/>
          <w:szCs w:val="32"/>
        </w:rPr>
      </w:pPr>
      <w:r w:rsidRPr="00407BB3">
        <w:rPr>
          <w:rFonts w:asciiTheme="majorBidi" w:hAnsiTheme="majorBidi" w:cstheme="majorBidi"/>
          <w:i/>
          <w:iCs/>
          <w:sz w:val="32"/>
          <w:szCs w:val="32"/>
        </w:rPr>
        <w:t>Projections and scenarios are based on trends observed from 2023 to 2025 and should be treated as forward-looking analyses rather than confirmed future events.</w:t>
      </w:r>
    </w:p>
    <w:p w14:paraId="3DD1CB83" w14:textId="5D8BE9DE" w:rsidR="00FB5B6C" w:rsidRPr="00407BB3" w:rsidRDefault="00FB5B6C" w:rsidP="00407BB3">
      <w:pPr>
        <w:ind w:left="0" w:firstLine="0"/>
        <w:rPr>
          <w:rFonts w:asciiTheme="majorBidi" w:hAnsiTheme="majorBidi" w:cstheme="majorBidi"/>
          <w:sz w:val="32"/>
          <w:szCs w:val="32"/>
        </w:rPr>
      </w:pPr>
    </w:p>
    <w:sectPr w:rsidR="00FB5B6C" w:rsidRPr="00407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6BD1"/>
    <w:multiLevelType w:val="multilevel"/>
    <w:tmpl w:val="E9F0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45060"/>
    <w:multiLevelType w:val="multilevel"/>
    <w:tmpl w:val="8E82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A7545"/>
    <w:multiLevelType w:val="multilevel"/>
    <w:tmpl w:val="39AC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610374">
    <w:abstractNumId w:val="0"/>
  </w:num>
  <w:num w:numId="2" w16cid:durableId="73168763">
    <w:abstractNumId w:val="2"/>
  </w:num>
  <w:num w:numId="3" w16cid:durableId="2020890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FD"/>
    <w:rsid w:val="00143158"/>
    <w:rsid w:val="002A700E"/>
    <w:rsid w:val="002F46D2"/>
    <w:rsid w:val="00407BB3"/>
    <w:rsid w:val="004E6385"/>
    <w:rsid w:val="00556F32"/>
    <w:rsid w:val="00607FF0"/>
    <w:rsid w:val="006E211E"/>
    <w:rsid w:val="00700AFD"/>
    <w:rsid w:val="00765C1B"/>
    <w:rsid w:val="008D237A"/>
    <w:rsid w:val="008D3D73"/>
    <w:rsid w:val="00922977"/>
    <w:rsid w:val="00B369F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C2B0"/>
  <w15:chartTrackingRefBased/>
  <w15:docId w15:val="{3CFB9980-AE12-4DC0-9666-83563670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A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A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A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A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A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A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A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A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AFD"/>
    <w:rPr>
      <w:rFonts w:eastAsiaTheme="majorEastAsia" w:cstheme="majorBidi"/>
      <w:color w:val="272727" w:themeColor="text1" w:themeTint="D8"/>
    </w:rPr>
  </w:style>
  <w:style w:type="paragraph" w:styleId="Title">
    <w:name w:val="Title"/>
    <w:basedOn w:val="Normal"/>
    <w:next w:val="Normal"/>
    <w:link w:val="TitleChar"/>
    <w:uiPriority w:val="10"/>
    <w:qFormat/>
    <w:rsid w:val="00700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AF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AFD"/>
    <w:pPr>
      <w:spacing w:before="160"/>
      <w:jc w:val="center"/>
    </w:pPr>
    <w:rPr>
      <w:i/>
      <w:iCs/>
      <w:color w:val="404040" w:themeColor="text1" w:themeTint="BF"/>
    </w:rPr>
  </w:style>
  <w:style w:type="character" w:customStyle="1" w:styleId="QuoteChar">
    <w:name w:val="Quote Char"/>
    <w:basedOn w:val="DefaultParagraphFont"/>
    <w:link w:val="Quote"/>
    <w:uiPriority w:val="29"/>
    <w:rsid w:val="00700AFD"/>
    <w:rPr>
      <w:i/>
      <w:iCs/>
      <w:color w:val="404040" w:themeColor="text1" w:themeTint="BF"/>
    </w:rPr>
  </w:style>
  <w:style w:type="paragraph" w:styleId="ListParagraph">
    <w:name w:val="List Paragraph"/>
    <w:basedOn w:val="Normal"/>
    <w:uiPriority w:val="34"/>
    <w:qFormat/>
    <w:rsid w:val="00700AFD"/>
    <w:pPr>
      <w:ind w:left="720"/>
      <w:contextualSpacing/>
    </w:pPr>
  </w:style>
  <w:style w:type="character" w:styleId="IntenseEmphasis">
    <w:name w:val="Intense Emphasis"/>
    <w:basedOn w:val="DefaultParagraphFont"/>
    <w:uiPriority w:val="21"/>
    <w:qFormat/>
    <w:rsid w:val="00700AFD"/>
    <w:rPr>
      <w:i/>
      <w:iCs/>
      <w:color w:val="2F5496" w:themeColor="accent1" w:themeShade="BF"/>
    </w:rPr>
  </w:style>
  <w:style w:type="paragraph" w:styleId="IntenseQuote">
    <w:name w:val="Intense Quote"/>
    <w:basedOn w:val="Normal"/>
    <w:next w:val="Normal"/>
    <w:link w:val="IntenseQuoteChar"/>
    <w:uiPriority w:val="30"/>
    <w:qFormat/>
    <w:rsid w:val="00700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AFD"/>
    <w:rPr>
      <w:i/>
      <w:iCs/>
      <w:color w:val="2F5496" w:themeColor="accent1" w:themeShade="BF"/>
    </w:rPr>
  </w:style>
  <w:style w:type="character" w:styleId="IntenseReference">
    <w:name w:val="Intense Reference"/>
    <w:basedOn w:val="DefaultParagraphFont"/>
    <w:uiPriority w:val="32"/>
    <w:qFormat/>
    <w:rsid w:val="00700A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8706">
      <w:bodyDiv w:val="1"/>
      <w:marLeft w:val="0"/>
      <w:marRight w:val="0"/>
      <w:marTop w:val="0"/>
      <w:marBottom w:val="0"/>
      <w:divBdr>
        <w:top w:val="none" w:sz="0" w:space="0" w:color="auto"/>
        <w:left w:val="none" w:sz="0" w:space="0" w:color="auto"/>
        <w:bottom w:val="none" w:sz="0" w:space="0" w:color="auto"/>
        <w:right w:val="none" w:sz="0" w:space="0" w:color="auto"/>
      </w:divBdr>
      <w:divsChild>
        <w:div w:id="1985431053">
          <w:marLeft w:val="0"/>
          <w:marRight w:val="0"/>
          <w:marTop w:val="0"/>
          <w:marBottom w:val="0"/>
          <w:divBdr>
            <w:top w:val="none" w:sz="0" w:space="0" w:color="auto"/>
            <w:left w:val="none" w:sz="0" w:space="0" w:color="auto"/>
            <w:bottom w:val="none" w:sz="0" w:space="0" w:color="auto"/>
            <w:right w:val="none" w:sz="0" w:space="0" w:color="auto"/>
          </w:divBdr>
        </w:div>
      </w:divsChild>
    </w:div>
    <w:div w:id="266932185">
      <w:bodyDiv w:val="1"/>
      <w:marLeft w:val="0"/>
      <w:marRight w:val="0"/>
      <w:marTop w:val="0"/>
      <w:marBottom w:val="0"/>
      <w:divBdr>
        <w:top w:val="none" w:sz="0" w:space="0" w:color="auto"/>
        <w:left w:val="none" w:sz="0" w:space="0" w:color="auto"/>
        <w:bottom w:val="none" w:sz="0" w:space="0" w:color="auto"/>
        <w:right w:val="none" w:sz="0" w:space="0" w:color="auto"/>
      </w:divBdr>
    </w:div>
    <w:div w:id="270477553">
      <w:bodyDiv w:val="1"/>
      <w:marLeft w:val="0"/>
      <w:marRight w:val="0"/>
      <w:marTop w:val="0"/>
      <w:marBottom w:val="0"/>
      <w:divBdr>
        <w:top w:val="none" w:sz="0" w:space="0" w:color="auto"/>
        <w:left w:val="none" w:sz="0" w:space="0" w:color="auto"/>
        <w:bottom w:val="none" w:sz="0" w:space="0" w:color="auto"/>
        <w:right w:val="none" w:sz="0" w:space="0" w:color="auto"/>
      </w:divBdr>
    </w:div>
    <w:div w:id="325977444">
      <w:bodyDiv w:val="1"/>
      <w:marLeft w:val="0"/>
      <w:marRight w:val="0"/>
      <w:marTop w:val="0"/>
      <w:marBottom w:val="0"/>
      <w:divBdr>
        <w:top w:val="none" w:sz="0" w:space="0" w:color="auto"/>
        <w:left w:val="none" w:sz="0" w:space="0" w:color="auto"/>
        <w:bottom w:val="none" w:sz="0" w:space="0" w:color="auto"/>
        <w:right w:val="none" w:sz="0" w:space="0" w:color="auto"/>
      </w:divBdr>
    </w:div>
    <w:div w:id="813839959">
      <w:bodyDiv w:val="1"/>
      <w:marLeft w:val="0"/>
      <w:marRight w:val="0"/>
      <w:marTop w:val="0"/>
      <w:marBottom w:val="0"/>
      <w:divBdr>
        <w:top w:val="none" w:sz="0" w:space="0" w:color="auto"/>
        <w:left w:val="none" w:sz="0" w:space="0" w:color="auto"/>
        <w:bottom w:val="none" w:sz="0" w:space="0" w:color="auto"/>
        <w:right w:val="none" w:sz="0" w:space="0" w:color="auto"/>
      </w:divBdr>
    </w:div>
    <w:div w:id="1009799362">
      <w:bodyDiv w:val="1"/>
      <w:marLeft w:val="0"/>
      <w:marRight w:val="0"/>
      <w:marTop w:val="0"/>
      <w:marBottom w:val="0"/>
      <w:divBdr>
        <w:top w:val="none" w:sz="0" w:space="0" w:color="auto"/>
        <w:left w:val="none" w:sz="0" w:space="0" w:color="auto"/>
        <w:bottom w:val="none" w:sz="0" w:space="0" w:color="auto"/>
        <w:right w:val="none" w:sz="0" w:space="0" w:color="auto"/>
      </w:divBdr>
      <w:divsChild>
        <w:div w:id="448861704">
          <w:marLeft w:val="0"/>
          <w:marRight w:val="0"/>
          <w:marTop w:val="0"/>
          <w:marBottom w:val="0"/>
          <w:divBdr>
            <w:top w:val="none" w:sz="0" w:space="0" w:color="auto"/>
            <w:left w:val="none" w:sz="0" w:space="0" w:color="auto"/>
            <w:bottom w:val="none" w:sz="0" w:space="0" w:color="auto"/>
            <w:right w:val="none" w:sz="0" w:space="0" w:color="auto"/>
          </w:divBdr>
        </w:div>
      </w:divsChild>
    </w:div>
    <w:div w:id="1565752762">
      <w:bodyDiv w:val="1"/>
      <w:marLeft w:val="0"/>
      <w:marRight w:val="0"/>
      <w:marTop w:val="0"/>
      <w:marBottom w:val="0"/>
      <w:divBdr>
        <w:top w:val="none" w:sz="0" w:space="0" w:color="auto"/>
        <w:left w:val="none" w:sz="0" w:space="0" w:color="auto"/>
        <w:bottom w:val="none" w:sz="0" w:space="0" w:color="auto"/>
        <w:right w:val="none" w:sz="0" w:space="0" w:color="auto"/>
      </w:divBdr>
    </w:div>
    <w:div w:id="213478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7</cp:revision>
  <dcterms:created xsi:type="dcterms:W3CDTF">2025-05-15T23:53:00Z</dcterms:created>
  <dcterms:modified xsi:type="dcterms:W3CDTF">2026-01-14T17:49:00Z</dcterms:modified>
</cp:coreProperties>
</file>