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3CB9" w14:textId="77777777" w:rsidR="00537821" w:rsidRPr="00DA7316" w:rsidRDefault="00537821" w:rsidP="00537821">
      <w:pPr>
        <w:rPr>
          <w:rFonts w:ascii="Times New Roman" w:hAnsi="Times New Roman" w:cs="Times New Roman"/>
          <w:b/>
          <w:bCs/>
          <w:sz w:val="32"/>
          <w:szCs w:val="32"/>
        </w:rPr>
      </w:pPr>
      <w:r w:rsidRPr="00DA7316">
        <w:rPr>
          <w:rFonts w:ascii="Times New Roman" w:hAnsi="Times New Roman" w:cs="Times New Roman"/>
          <w:b/>
          <w:bCs/>
          <w:sz w:val="32"/>
          <w:szCs w:val="32"/>
        </w:rPr>
        <w:t>Tasmania Wine Region: A Sommelier's Guide</w:t>
      </w:r>
    </w:p>
    <w:p w14:paraId="786D82EF"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1. Region Overview</w:t>
      </w:r>
    </w:p>
    <w:p w14:paraId="1C45033D"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Geographic Location</w:t>
      </w:r>
    </w:p>
    <w:p w14:paraId="1E99EABE" w14:textId="61293138"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 xml:space="preserve">Tasmania, Australia’s island state, lies approximately 150 miles south of the mainland across the Bass Strait. This cool-climate wine region is separated into several key sub-regions, including the Tamar Valley, Coal River Valley, East Coast, Pipers River, and Derwent Valley. Tasmania is the southernmost wine-producing region of Australia, giving it a distinct climatic profile compared to mainland counterparts such as Victoria and South </w:t>
      </w:r>
      <w:proofErr w:type="gramStart"/>
      <w:r w:rsidRPr="00DA7316">
        <w:rPr>
          <w:rFonts w:ascii="Times New Roman" w:hAnsi="Times New Roman" w:cs="Times New Roman"/>
          <w:sz w:val="32"/>
          <w:szCs w:val="32"/>
        </w:rPr>
        <w:t>Australia .</w:t>
      </w:r>
      <w:proofErr w:type="gramEnd"/>
      <w:r w:rsidR="00A07C4B" w:rsidRPr="00A07C4B">
        <w:t xml:space="preserve"> </w:t>
      </w:r>
      <w:r w:rsidR="00A07C4B">
        <w:rPr>
          <w:noProof/>
        </w:rPr>
        <w:drawing>
          <wp:anchor distT="0" distB="0" distL="114300" distR="114300" simplePos="0" relativeHeight="251658240" behindDoc="0" locked="0" layoutInCell="1" allowOverlap="1" wp14:anchorId="397AFDDD" wp14:editId="7DB2B166">
            <wp:simplePos x="0" y="0"/>
            <wp:positionH relativeFrom="column">
              <wp:posOffset>0</wp:posOffset>
            </wp:positionH>
            <wp:positionV relativeFrom="paragraph">
              <wp:posOffset>1892935</wp:posOffset>
            </wp:positionV>
            <wp:extent cx="5943600" cy="4438015"/>
            <wp:effectExtent l="0" t="0" r="0" b="635"/>
            <wp:wrapSquare wrapText="bothSides"/>
            <wp:docPr id="1111869354" name="Picture 1" descr="Australia Map of Vineyards Win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stralia Map of Vineyards Wine Regi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38015"/>
                    </a:xfrm>
                    <a:prstGeom prst="rect">
                      <a:avLst/>
                    </a:prstGeom>
                    <a:noFill/>
                    <a:ln>
                      <a:noFill/>
                    </a:ln>
                  </pic:spPr>
                </pic:pic>
              </a:graphicData>
            </a:graphic>
          </wp:anchor>
        </w:drawing>
      </w:r>
    </w:p>
    <w:p w14:paraId="11CF3B9D"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Climate and Terroir</w:t>
      </w:r>
    </w:p>
    <w:p w14:paraId="562EBF8A"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lastRenderedPageBreak/>
        <w:t xml:space="preserve">Tasmania’s maritime climate is characterized by cool temperatures, high humidity, and significant diurnal shifts, which extend the growing season. Rainfall is moderate, with coastal areas receiving higher precipitation than inland valleys. The island's terroir is diverse, featuring a mix of volcanic soils, sandstone, and well-draining gravelly loams, contributing to the structure and minerality of its </w:t>
      </w:r>
      <w:proofErr w:type="gramStart"/>
      <w:r w:rsidRPr="00DA7316">
        <w:rPr>
          <w:rFonts w:ascii="Times New Roman" w:hAnsi="Times New Roman" w:cs="Times New Roman"/>
          <w:sz w:val="32"/>
          <w:szCs w:val="32"/>
        </w:rPr>
        <w:t>wines .</w:t>
      </w:r>
      <w:proofErr w:type="gramEnd"/>
      <w:r w:rsidRPr="00DA7316">
        <w:rPr>
          <w:rFonts w:ascii="Times New Roman" w:hAnsi="Times New Roman" w:cs="Times New Roman"/>
          <w:sz w:val="32"/>
          <w:szCs w:val="32"/>
        </w:rPr>
        <w:t xml:space="preserve"> Long sunshine hours during the growing season help grapes reach full phenolic ripeness while retaining acidity.</w:t>
      </w:r>
    </w:p>
    <w:p w14:paraId="5A76F23D"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Structural Organization</w:t>
      </w:r>
    </w:p>
    <w:p w14:paraId="2037F796"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 xml:space="preserve">Tasmania does not have a multi-tiered appellation system like Europe but is recognized as a single Geographic Indication (GI). However, its sub-regions exhibit distinct styles and characteristics, particularly in sparkling wine </w:t>
      </w:r>
      <w:proofErr w:type="gramStart"/>
      <w:r w:rsidRPr="00DA7316">
        <w:rPr>
          <w:rFonts w:ascii="Times New Roman" w:hAnsi="Times New Roman" w:cs="Times New Roman"/>
          <w:sz w:val="32"/>
          <w:szCs w:val="32"/>
        </w:rPr>
        <w:t>production .</w:t>
      </w:r>
      <w:proofErr w:type="gramEnd"/>
    </w:p>
    <w:p w14:paraId="1E21FEC6"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Historical Context</w:t>
      </w:r>
    </w:p>
    <w:p w14:paraId="1937BE22"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 xml:space="preserve">Viticulture in Tasmania dates back to the early 19th century when European settlers planted the first vines in 1823. However, commercial winemaking only took off in the late 20th century. Today, Tasmania is globally recognized for its high-quality sparkling wines and cool-climate varietals, rivaling renowned </w:t>
      </w:r>
      <w:proofErr w:type="gramStart"/>
      <w:r w:rsidRPr="00DA7316">
        <w:rPr>
          <w:rFonts w:ascii="Times New Roman" w:hAnsi="Times New Roman" w:cs="Times New Roman"/>
          <w:sz w:val="32"/>
          <w:szCs w:val="32"/>
        </w:rPr>
        <w:t>Old World</w:t>
      </w:r>
      <w:proofErr w:type="gramEnd"/>
      <w:r w:rsidRPr="00DA7316">
        <w:rPr>
          <w:rFonts w:ascii="Times New Roman" w:hAnsi="Times New Roman" w:cs="Times New Roman"/>
          <w:sz w:val="32"/>
          <w:szCs w:val="32"/>
        </w:rPr>
        <w:t xml:space="preserve"> </w:t>
      </w:r>
      <w:proofErr w:type="gramStart"/>
      <w:r w:rsidRPr="00DA7316">
        <w:rPr>
          <w:rFonts w:ascii="Times New Roman" w:hAnsi="Times New Roman" w:cs="Times New Roman"/>
          <w:sz w:val="32"/>
          <w:szCs w:val="32"/>
        </w:rPr>
        <w:t>regions .</w:t>
      </w:r>
      <w:proofErr w:type="gramEnd"/>
    </w:p>
    <w:p w14:paraId="0A85EDC7"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Distinctive Features</w:t>
      </w:r>
    </w:p>
    <w:p w14:paraId="4EFFB373"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 xml:space="preserve">Tasmania stands out for its exceptional sparkling wine production, often compared to Champagne due to its ideal growing conditions. The region’s focus on sustainability and low-intervention winemaking further enhances its </w:t>
      </w:r>
      <w:proofErr w:type="gramStart"/>
      <w:r w:rsidRPr="00DA7316">
        <w:rPr>
          <w:rFonts w:ascii="Times New Roman" w:hAnsi="Times New Roman" w:cs="Times New Roman"/>
          <w:sz w:val="32"/>
          <w:szCs w:val="32"/>
        </w:rPr>
        <w:t>reputation .</w:t>
      </w:r>
      <w:proofErr w:type="gramEnd"/>
    </w:p>
    <w:p w14:paraId="4294198B" w14:textId="77777777" w:rsidR="00537821" w:rsidRPr="00DA7316" w:rsidRDefault="00000000" w:rsidP="00537821">
      <w:pPr>
        <w:rPr>
          <w:rFonts w:ascii="Times New Roman" w:hAnsi="Times New Roman" w:cs="Times New Roman"/>
          <w:sz w:val="32"/>
          <w:szCs w:val="32"/>
        </w:rPr>
      </w:pPr>
      <w:r>
        <w:rPr>
          <w:rFonts w:ascii="Times New Roman" w:hAnsi="Times New Roman" w:cs="Times New Roman"/>
          <w:sz w:val="32"/>
          <w:szCs w:val="32"/>
        </w:rPr>
        <w:pict w14:anchorId="37768A60">
          <v:rect id="_x0000_i1025" style="width:0;height:1.5pt" o:hralign="center" o:hrstd="t" o:hr="t" fillcolor="#a0a0a0" stroked="f"/>
        </w:pict>
      </w:r>
    </w:p>
    <w:p w14:paraId="46A4D05F"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2. Key Grape Varieties</w:t>
      </w:r>
    </w:p>
    <w:p w14:paraId="3BDAB569"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Primary Red Varieties</w:t>
      </w:r>
    </w:p>
    <w:p w14:paraId="506E625F" w14:textId="5983DDAC" w:rsidR="00537821" w:rsidRPr="00DA7316" w:rsidRDefault="00A07C4B" w:rsidP="00537821">
      <w:pPr>
        <w:numPr>
          <w:ilvl w:val="0"/>
          <w:numId w:val="10"/>
        </w:numPr>
        <w:rPr>
          <w:rFonts w:ascii="Times New Roman" w:hAnsi="Times New Roman" w:cs="Times New Roman"/>
          <w:sz w:val="32"/>
          <w:szCs w:val="32"/>
        </w:rPr>
      </w:pPr>
      <w:r w:rsidRPr="00A07C4B">
        <w:rPr>
          <w:rFonts w:ascii="Times New Roman" w:hAnsi="Times New Roman" w:cs="Times New Roman"/>
          <w:noProof/>
          <w:sz w:val="32"/>
          <w:szCs w:val="32"/>
        </w:rPr>
        <w:lastRenderedPageBreak/>
        <w:drawing>
          <wp:anchor distT="0" distB="0" distL="114300" distR="114300" simplePos="0" relativeHeight="251659264" behindDoc="0" locked="0" layoutInCell="1" allowOverlap="1" wp14:anchorId="536D68AE" wp14:editId="3B9377D9">
            <wp:simplePos x="0" y="0"/>
            <wp:positionH relativeFrom="column">
              <wp:posOffset>76200</wp:posOffset>
            </wp:positionH>
            <wp:positionV relativeFrom="paragraph">
              <wp:posOffset>0</wp:posOffset>
            </wp:positionV>
            <wp:extent cx="1562735" cy="4210050"/>
            <wp:effectExtent l="0" t="0" r="0" b="0"/>
            <wp:wrapSquare wrapText="bothSides"/>
            <wp:docPr id="34835048" name="Picture 3" descr="Tasmanian Hill Pinot Noir 2015 | The Wine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smanian Hill Pinot Noir 2015 | The Wine Fro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735" cy="421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C4B">
        <w:rPr>
          <w:rFonts w:ascii="Times New Roman" w:hAnsi="Times New Roman" w:cs="Times New Roman"/>
          <w:sz w:val="32"/>
          <w:szCs w:val="32"/>
        </w:rPr>
        <w:t xml:space="preserve"> </w:t>
      </w:r>
      <w:r w:rsidR="00537821" w:rsidRPr="00DA7316">
        <w:rPr>
          <w:rFonts w:ascii="Times New Roman" w:hAnsi="Times New Roman" w:cs="Times New Roman"/>
          <w:sz w:val="32"/>
          <w:szCs w:val="32"/>
        </w:rPr>
        <w:t>Pinot Noir – Tasmania’s flagship red grape, producing elegant, perfumed wines with bright red fruit, earthy undertones, and fine tannins. Used extensively in both still and sparkling wines.</w:t>
      </w:r>
    </w:p>
    <w:p w14:paraId="35C0BF90"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Primary White Varieties</w:t>
      </w:r>
    </w:p>
    <w:p w14:paraId="3E81C41D" w14:textId="77777777" w:rsidR="00537821" w:rsidRPr="00DA7316" w:rsidRDefault="00537821" w:rsidP="00537821">
      <w:pPr>
        <w:numPr>
          <w:ilvl w:val="0"/>
          <w:numId w:val="11"/>
        </w:numPr>
        <w:rPr>
          <w:rFonts w:ascii="Times New Roman" w:hAnsi="Times New Roman" w:cs="Times New Roman"/>
          <w:sz w:val="32"/>
          <w:szCs w:val="32"/>
        </w:rPr>
      </w:pPr>
      <w:r w:rsidRPr="00DA7316">
        <w:rPr>
          <w:rFonts w:ascii="Times New Roman" w:hAnsi="Times New Roman" w:cs="Times New Roman"/>
          <w:sz w:val="32"/>
          <w:szCs w:val="32"/>
        </w:rPr>
        <w:t>Chardonnay – A cornerstone of Tasmania’s sparkling wine production, yielding complex, mineral-driven wines with crisp acidity.</w:t>
      </w:r>
    </w:p>
    <w:p w14:paraId="134D6D58" w14:textId="4244695C" w:rsidR="00537821" w:rsidRPr="00DA7316" w:rsidRDefault="00537821" w:rsidP="00537821">
      <w:pPr>
        <w:numPr>
          <w:ilvl w:val="0"/>
          <w:numId w:val="11"/>
        </w:numPr>
        <w:rPr>
          <w:rFonts w:ascii="Times New Roman" w:hAnsi="Times New Roman" w:cs="Times New Roman"/>
          <w:sz w:val="32"/>
          <w:szCs w:val="32"/>
        </w:rPr>
      </w:pPr>
      <w:r w:rsidRPr="00DA7316">
        <w:rPr>
          <w:rFonts w:ascii="Times New Roman" w:hAnsi="Times New Roman" w:cs="Times New Roman"/>
          <w:sz w:val="32"/>
          <w:szCs w:val="32"/>
        </w:rPr>
        <w:t>Riesling – Produces dry and off-dry styles with intense citrus, floral, and slate-like minerality, reflecting the region’s cool climate.</w:t>
      </w:r>
    </w:p>
    <w:p w14:paraId="1C689686"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Indigenous/Regional Varieties</w:t>
      </w:r>
    </w:p>
    <w:p w14:paraId="73634614"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Tasmania does not have indigenous varieties, but its expressions of Pinot Noir, Chardonnay, and Riesling are distinct from mainland Australian counterparts due to the region’s cooler growing conditions.</w:t>
      </w:r>
    </w:p>
    <w:p w14:paraId="42845E55"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Significance</w:t>
      </w:r>
    </w:p>
    <w:p w14:paraId="6B23C076"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Pinot Noir and Chardonnay dominate, with a strong emphasis on sparkling wine production. Riesling and Sauvignon Blanc play secondary roles, offering highly aromatic, high-acid white wines.</w:t>
      </w:r>
    </w:p>
    <w:p w14:paraId="559B6A0C" w14:textId="77777777" w:rsidR="00537821" w:rsidRPr="00DA7316" w:rsidRDefault="00000000" w:rsidP="00537821">
      <w:pPr>
        <w:rPr>
          <w:rFonts w:ascii="Times New Roman" w:hAnsi="Times New Roman" w:cs="Times New Roman"/>
          <w:sz w:val="32"/>
          <w:szCs w:val="32"/>
        </w:rPr>
      </w:pPr>
      <w:r>
        <w:rPr>
          <w:rFonts w:ascii="Times New Roman" w:hAnsi="Times New Roman" w:cs="Times New Roman"/>
          <w:sz w:val="32"/>
          <w:szCs w:val="32"/>
        </w:rPr>
        <w:pict w14:anchorId="59A745C3">
          <v:rect id="_x0000_i1026" style="width:0;height:1.5pt" o:hralign="center" o:hrstd="t" o:hr="t" fillcolor="#a0a0a0" stroked="f"/>
        </w:pict>
      </w:r>
    </w:p>
    <w:p w14:paraId="46403FE0"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3. Wine Classification System</w:t>
      </w:r>
    </w:p>
    <w:p w14:paraId="29DF5555"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Quality Hierarchy</w:t>
      </w:r>
    </w:p>
    <w:p w14:paraId="77D9795D"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 xml:space="preserve">Tasmania follows the Australian GI system, with Tasmania recognized as a single GI. No official quality tiers exist, but certain producers and vineyards have earned reputations for producing premier </w:t>
      </w:r>
      <w:proofErr w:type="gramStart"/>
      <w:r w:rsidRPr="00DA7316">
        <w:rPr>
          <w:rFonts w:ascii="Times New Roman" w:hAnsi="Times New Roman" w:cs="Times New Roman"/>
          <w:sz w:val="32"/>
          <w:szCs w:val="32"/>
        </w:rPr>
        <w:t>wines .</w:t>
      </w:r>
      <w:proofErr w:type="gramEnd"/>
    </w:p>
    <w:p w14:paraId="6D11DCAB" w14:textId="6D338B20"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lastRenderedPageBreak/>
        <w:t>Appellation Structure</w:t>
      </w:r>
    </w:p>
    <w:p w14:paraId="614B7DEF" w14:textId="203FBF8F" w:rsidR="00537821" w:rsidRPr="00DA7316" w:rsidRDefault="00537821" w:rsidP="00537821">
      <w:pPr>
        <w:numPr>
          <w:ilvl w:val="0"/>
          <w:numId w:val="12"/>
        </w:numPr>
        <w:rPr>
          <w:rFonts w:ascii="Times New Roman" w:hAnsi="Times New Roman" w:cs="Times New Roman"/>
          <w:sz w:val="32"/>
          <w:szCs w:val="32"/>
        </w:rPr>
      </w:pPr>
      <w:r w:rsidRPr="00DA7316">
        <w:rPr>
          <w:rFonts w:ascii="Times New Roman" w:hAnsi="Times New Roman" w:cs="Times New Roman"/>
          <w:sz w:val="32"/>
          <w:szCs w:val="32"/>
        </w:rPr>
        <w:t>Tasmania GI – Encompasses the entire island, with notable sub-regions informally recognized.</w:t>
      </w:r>
    </w:p>
    <w:p w14:paraId="282B36BB" w14:textId="029A8F16"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Special Classifications</w:t>
      </w:r>
    </w:p>
    <w:p w14:paraId="1CDF75E8" w14:textId="3DA4445D" w:rsidR="00537821" w:rsidRPr="00DA7316" w:rsidRDefault="00537821" w:rsidP="00537821">
      <w:pPr>
        <w:numPr>
          <w:ilvl w:val="0"/>
          <w:numId w:val="13"/>
        </w:numPr>
        <w:rPr>
          <w:rFonts w:ascii="Times New Roman" w:hAnsi="Times New Roman" w:cs="Times New Roman"/>
          <w:sz w:val="32"/>
          <w:szCs w:val="32"/>
        </w:rPr>
      </w:pPr>
      <w:r w:rsidRPr="00DA7316">
        <w:rPr>
          <w:rFonts w:ascii="Times New Roman" w:hAnsi="Times New Roman" w:cs="Times New Roman"/>
          <w:sz w:val="32"/>
          <w:szCs w:val="32"/>
        </w:rPr>
        <w:t xml:space="preserve">Tasmanian Sparkling Wine – An unofficial but widely recognized category, rivaling top-tier sparkling wines </w:t>
      </w:r>
      <w:proofErr w:type="gramStart"/>
      <w:r w:rsidRPr="00DA7316">
        <w:rPr>
          <w:rFonts w:ascii="Times New Roman" w:hAnsi="Times New Roman" w:cs="Times New Roman"/>
          <w:sz w:val="32"/>
          <w:szCs w:val="32"/>
        </w:rPr>
        <w:t>worldwide .</w:t>
      </w:r>
      <w:proofErr w:type="gramEnd"/>
    </w:p>
    <w:p w14:paraId="43BB142E" w14:textId="3861DFC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Sub-Regional Distinctions</w:t>
      </w:r>
    </w:p>
    <w:p w14:paraId="7B020CD0" w14:textId="57FCF595" w:rsidR="00537821" w:rsidRPr="00DA7316" w:rsidRDefault="00537821" w:rsidP="00537821">
      <w:pPr>
        <w:numPr>
          <w:ilvl w:val="0"/>
          <w:numId w:val="14"/>
        </w:numPr>
        <w:rPr>
          <w:rFonts w:ascii="Times New Roman" w:hAnsi="Times New Roman" w:cs="Times New Roman"/>
          <w:sz w:val="32"/>
          <w:szCs w:val="32"/>
        </w:rPr>
      </w:pPr>
      <w:r w:rsidRPr="00DA7316">
        <w:rPr>
          <w:rFonts w:ascii="Times New Roman" w:hAnsi="Times New Roman" w:cs="Times New Roman"/>
          <w:sz w:val="32"/>
          <w:szCs w:val="32"/>
        </w:rPr>
        <w:t>Pipers River – Renowned for sparkling wines with high acidity and structure.</w:t>
      </w:r>
    </w:p>
    <w:p w14:paraId="18B27B2E" w14:textId="0A80DEC6" w:rsidR="00537821" w:rsidRPr="00DA7316" w:rsidRDefault="00537821" w:rsidP="00537821">
      <w:pPr>
        <w:numPr>
          <w:ilvl w:val="0"/>
          <w:numId w:val="14"/>
        </w:numPr>
        <w:rPr>
          <w:rFonts w:ascii="Times New Roman" w:hAnsi="Times New Roman" w:cs="Times New Roman"/>
          <w:sz w:val="32"/>
          <w:szCs w:val="32"/>
        </w:rPr>
      </w:pPr>
      <w:r w:rsidRPr="00DA7316">
        <w:rPr>
          <w:rFonts w:ascii="Times New Roman" w:hAnsi="Times New Roman" w:cs="Times New Roman"/>
          <w:sz w:val="32"/>
          <w:szCs w:val="32"/>
        </w:rPr>
        <w:t>Tamar Valley – The largest sub-region, producing balanced Pinot Noir and Chardonnay.</w:t>
      </w:r>
    </w:p>
    <w:p w14:paraId="122C51AE" w14:textId="27688ADC" w:rsidR="00537821" w:rsidRPr="00DA7316" w:rsidRDefault="00537821" w:rsidP="00537821">
      <w:pPr>
        <w:numPr>
          <w:ilvl w:val="0"/>
          <w:numId w:val="14"/>
        </w:numPr>
        <w:rPr>
          <w:rFonts w:ascii="Times New Roman" w:hAnsi="Times New Roman" w:cs="Times New Roman"/>
          <w:sz w:val="32"/>
          <w:szCs w:val="32"/>
        </w:rPr>
      </w:pPr>
      <w:r w:rsidRPr="00DA7316">
        <w:rPr>
          <w:rFonts w:ascii="Times New Roman" w:hAnsi="Times New Roman" w:cs="Times New Roman"/>
          <w:sz w:val="32"/>
          <w:szCs w:val="32"/>
        </w:rPr>
        <w:t>Coal River Valley – Known for structured, age-worthy Pinot Noir.</w:t>
      </w:r>
    </w:p>
    <w:p w14:paraId="49463C01" w14:textId="7343E828" w:rsidR="00537821" w:rsidRPr="00DA7316" w:rsidRDefault="00537821" w:rsidP="00537821">
      <w:pPr>
        <w:numPr>
          <w:ilvl w:val="0"/>
          <w:numId w:val="14"/>
        </w:numPr>
        <w:rPr>
          <w:rFonts w:ascii="Times New Roman" w:hAnsi="Times New Roman" w:cs="Times New Roman"/>
          <w:sz w:val="32"/>
          <w:szCs w:val="32"/>
        </w:rPr>
      </w:pPr>
      <w:r w:rsidRPr="00DA7316">
        <w:rPr>
          <w:rFonts w:ascii="Times New Roman" w:hAnsi="Times New Roman" w:cs="Times New Roman"/>
          <w:sz w:val="32"/>
          <w:szCs w:val="32"/>
        </w:rPr>
        <w:t>East Coast – Warmer than other sub-regions, yielding fuller-bodied whites and reds.</w:t>
      </w:r>
    </w:p>
    <w:p w14:paraId="2678CA42" w14:textId="0CEF05DC" w:rsidR="00537821" w:rsidRPr="00DA7316" w:rsidRDefault="00A07C4B" w:rsidP="00537821">
      <w:pPr>
        <w:rPr>
          <w:rFonts w:ascii="Times New Roman" w:hAnsi="Times New Roman" w:cs="Times New Roman"/>
          <w:sz w:val="32"/>
          <w:szCs w:val="32"/>
        </w:rPr>
      </w:pPr>
      <w:r>
        <w:rPr>
          <w:noProof/>
        </w:rPr>
        <w:drawing>
          <wp:anchor distT="0" distB="0" distL="114300" distR="114300" simplePos="0" relativeHeight="251660288" behindDoc="0" locked="0" layoutInCell="1" allowOverlap="1" wp14:anchorId="239762A8" wp14:editId="1ABC0EE0">
            <wp:simplePos x="0" y="0"/>
            <wp:positionH relativeFrom="margin">
              <wp:align>left</wp:align>
            </wp:positionH>
            <wp:positionV relativeFrom="paragraph">
              <wp:posOffset>163830</wp:posOffset>
            </wp:positionV>
            <wp:extent cx="906780" cy="3352165"/>
            <wp:effectExtent l="0" t="0" r="7620" b="635"/>
            <wp:wrapSquare wrapText="bothSides"/>
            <wp:docPr id="1036886975" name="Picture 4" descr="Handpicked Methode Traditionnelle Tasmania Sparkling Cuvée - Handpicked W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ndpicked Methode Traditionnelle Tasmania Sparkling Cuvée - Handpicked Wi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335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Times New Roman" w:hAnsi="Times New Roman" w:cs="Times New Roman"/>
          <w:sz w:val="32"/>
          <w:szCs w:val="32"/>
        </w:rPr>
        <w:pict w14:anchorId="012C2F39">
          <v:rect id="_x0000_i1027" style="width:0;height:1.5pt" o:hralign="center" o:hrstd="t" o:hr="t" fillcolor="#a0a0a0" stroked="f"/>
        </w:pict>
      </w:r>
    </w:p>
    <w:p w14:paraId="02F3FBEE"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4. Notable Wine Styles</w:t>
      </w:r>
    </w:p>
    <w:p w14:paraId="6514848B" w14:textId="22F10CBE"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Sparkling Wine</w:t>
      </w:r>
    </w:p>
    <w:p w14:paraId="5F2DB358" w14:textId="77777777" w:rsidR="00537821" w:rsidRPr="00DA7316" w:rsidRDefault="00537821" w:rsidP="00537821">
      <w:pPr>
        <w:numPr>
          <w:ilvl w:val="0"/>
          <w:numId w:val="15"/>
        </w:numPr>
        <w:rPr>
          <w:rFonts w:ascii="Times New Roman" w:hAnsi="Times New Roman" w:cs="Times New Roman"/>
          <w:sz w:val="32"/>
          <w:szCs w:val="32"/>
        </w:rPr>
      </w:pPr>
      <w:r w:rsidRPr="00DA7316">
        <w:rPr>
          <w:rFonts w:ascii="Times New Roman" w:hAnsi="Times New Roman" w:cs="Times New Roman"/>
          <w:sz w:val="32"/>
          <w:szCs w:val="32"/>
        </w:rPr>
        <w:t>Classification Level: Tasmania GI</w:t>
      </w:r>
    </w:p>
    <w:p w14:paraId="7746288F" w14:textId="77777777" w:rsidR="00537821" w:rsidRPr="00DA7316" w:rsidRDefault="00537821" w:rsidP="00537821">
      <w:pPr>
        <w:numPr>
          <w:ilvl w:val="0"/>
          <w:numId w:val="15"/>
        </w:numPr>
        <w:rPr>
          <w:rFonts w:ascii="Times New Roman" w:hAnsi="Times New Roman" w:cs="Times New Roman"/>
          <w:sz w:val="32"/>
          <w:szCs w:val="32"/>
        </w:rPr>
      </w:pPr>
      <w:r w:rsidRPr="00DA7316">
        <w:rPr>
          <w:rFonts w:ascii="Times New Roman" w:hAnsi="Times New Roman" w:cs="Times New Roman"/>
          <w:sz w:val="32"/>
          <w:szCs w:val="32"/>
        </w:rPr>
        <w:t>Composition: Pinot Noir, Chardonnay, and Pinot Meunier (traditional method)</w:t>
      </w:r>
    </w:p>
    <w:p w14:paraId="598EDDE0" w14:textId="77777777" w:rsidR="00537821" w:rsidRPr="00DA7316" w:rsidRDefault="00537821" w:rsidP="00537821">
      <w:pPr>
        <w:numPr>
          <w:ilvl w:val="0"/>
          <w:numId w:val="15"/>
        </w:numPr>
        <w:rPr>
          <w:rFonts w:ascii="Times New Roman" w:hAnsi="Times New Roman" w:cs="Times New Roman"/>
          <w:sz w:val="32"/>
          <w:szCs w:val="32"/>
        </w:rPr>
      </w:pPr>
      <w:r w:rsidRPr="00DA7316">
        <w:rPr>
          <w:rFonts w:ascii="Times New Roman" w:hAnsi="Times New Roman" w:cs="Times New Roman"/>
          <w:sz w:val="32"/>
          <w:szCs w:val="32"/>
        </w:rPr>
        <w:t xml:space="preserve">Production Method: </w:t>
      </w:r>
      <w:proofErr w:type="spellStart"/>
      <w:r w:rsidRPr="00DA7316">
        <w:rPr>
          <w:rFonts w:ascii="Times New Roman" w:hAnsi="Times New Roman" w:cs="Times New Roman"/>
          <w:sz w:val="32"/>
          <w:szCs w:val="32"/>
        </w:rPr>
        <w:t>Méthode</w:t>
      </w:r>
      <w:proofErr w:type="spellEnd"/>
      <w:r w:rsidRPr="00DA7316">
        <w:rPr>
          <w:rFonts w:ascii="Times New Roman" w:hAnsi="Times New Roman" w:cs="Times New Roman"/>
          <w:sz w:val="32"/>
          <w:szCs w:val="32"/>
        </w:rPr>
        <w:t xml:space="preserve"> </w:t>
      </w:r>
      <w:proofErr w:type="spellStart"/>
      <w:r w:rsidRPr="00DA7316">
        <w:rPr>
          <w:rFonts w:ascii="Times New Roman" w:hAnsi="Times New Roman" w:cs="Times New Roman"/>
          <w:sz w:val="32"/>
          <w:szCs w:val="32"/>
        </w:rPr>
        <w:t>Traditionnelle</w:t>
      </w:r>
      <w:proofErr w:type="spellEnd"/>
    </w:p>
    <w:p w14:paraId="58E2B1D1" w14:textId="77777777" w:rsidR="00537821" w:rsidRPr="00DA7316" w:rsidRDefault="00537821" w:rsidP="00537821">
      <w:pPr>
        <w:numPr>
          <w:ilvl w:val="0"/>
          <w:numId w:val="15"/>
        </w:numPr>
        <w:rPr>
          <w:rFonts w:ascii="Times New Roman" w:hAnsi="Times New Roman" w:cs="Times New Roman"/>
          <w:sz w:val="32"/>
          <w:szCs w:val="32"/>
        </w:rPr>
      </w:pPr>
      <w:r w:rsidRPr="00DA7316">
        <w:rPr>
          <w:rFonts w:ascii="Times New Roman" w:hAnsi="Times New Roman" w:cs="Times New Roman"/>
          <w:sz w:val="32"/>
          <w:szCs w:val="32"/>
        </w:rPr>
        <w:t xml:space="preserve">Aging Requirements: </w:t>
      </w:r>
      <w:proofErr w:type="gramStart"/>
      <w:r w:rsidRPr="00DA7316">
        <w:rPr>
          <w:rFonts w:ascii="Times New Roman" w:hAnsi="Times New Roman" w:cs="Times New Roman"/>
          <w:sz w:val="32"/>
          <w:szCs w:val="32"/>
        </w:rPr>
        <w:t>Typically</w:t>
      </w:r>
      <w:proofErr w:type="gramEnd"/>
      <w:r w:rsidRPr="00DA7316">
        <w:rPr>
          <w:rFonts w:ascii="Times New Roman" w:hAnsi="Times New Roman" w:cs="Times New Roman"/>
          <w:sz w:val="32"/>
          <w:szCs w:val="32"/>
        </w:rPr>
        <w:t xml:space="preserve"> 18+ months on lees</w:t>
      </w:r>
    </w:p>
    <w:p w14:paraId="0BCC77CB" w14:textId="77777777" w:rsidR="00537821" w:rsidRPr="00DA7316" w:rsidRDefault="00537821" w:rsidP="00537821">
      <w:pPr>
        <w:numPr>
          <w:ilvl w:val="0"/>
          <w:numId w:val="15"/>
        </w:numPr>
        <w:rPr>
          <w:rFonts w:ascii="Times New Roman" w:hAnsi="Times New Roman" w:cs="Times New Roman"/>
          <w:sz w:val="32"/>
          <w:szCs w:val="32"/>
        </w:rPr>
      </w:pPr>
      <w:r w:rsidRPr="00DA7316">
        <w:rPr>
          <w:rFonts w:ascii="Times New Roman" w:hAnsi="Times New Roman" w:cs="Times New Roman"/>
          <w:sz w:val="32"/>
          <w:szCs w:val="32"/>
        </w:rPr>
        <w:t>Alcohol Content: 12–13%</w:t>
      </w:r>
    </w:p>
    <w:p w14:paraId="3E1C6A8F" w14:textId="77777777" w:rsidR="00537821" w:rsidRPr="00DA7316" w:rsidRDefault="00537821" w:rsidP="00537821">
      <w:pPr>
        <w:numPr>
          <w:ilvl w:val="0"/>
          <w:numId w:val="15"/>
        </w:numPr>
        <w:rPr>
          <w:rFonts w:ascii="Times New Roman" w:hAnsi="Times New Roman" w:cs="Times New Roman"/>
          <w:sz w:val="32"/>
          <w:szCs w:val="32"/>
        </w:rPr>
      </w:pPr>
      <w:r w:rsidRPr="00DA7316">
        <w:rPr>
          <w:rFonts w:ascii="Times New Roman" w:hAnsi="Times New Roman" w:cs="Times New Roman"/>
          <w:sz w:val="32"/>
          <w:szCs w:val="32"/>
        </w:rPr>
        <w:lastRenderedPageBreak/>
        <w:t>Organoleptic Profile: Bright citrus, green apple, brioche, and minerality with persistent acidity</w:t>
      </w:r>
    </w:p>
    <w:p w14:paraId="6330B22F" w14:textId="77777777" w:rsidR="00537821" w:rsidRPr="00DA7316" w:rsidRDefault="00537821" w:rsidP="00537821">
      <w:pPr>
        <w:numPr>
          <w:ilvl w:val="0"/>
          <w:numId w:val="15"/>
        </w:numPr>
        <w:rPr>
          <w:rFonts w:ascii="Times New Roman" w:hAnsi="Times New Roman" w:cs="Times New Roman"/>
          <w:sz w:val="32"/>
          <w:szCs w:val="32"/>
        </w:rPr>
      </w:pPr>
      <w:r w:rsidRPr="00DA7316">
        <w:rPr>
          <w:rFonts w:ascii="Times New Roman" w:hAnsi="Times New Roman" w:cs="Times New Roman"/>
          <w:sz w:val="32"/>
          <w:szCs w:val="32"/>
        </w:rPr>
        <w:t xml:space="preserve">Style Variations: Vintage and non-vintage expressions, rosé </w:t>
      </w:r>
      <w:proofErr w:type="gramStart"/>
      <w:r w:rsidRPr="00DA7316">
        <w:rPr>
          <w:rFonts w:ascii="Times New Roman" w:hAnsi="Times New Roman" w:cs="Times New Roman"/>
          <w:sz w:val="32"/>
          <w:szCs w:val="32"/>
        </w:rPr>
        <w:t>styles .</w:t>
      </w:r>
      <w:proofErr w:type="gramEnd"/>
    </w:p>
    <w:p w14:paraId="5E30A4CA" w14:textId="77777777" w:rsidR="00537821" w:rsidRPr="00DA7316" w:rsidRDefault="00000000" w:rsidP="00537821">
      <w:pPr>
        <w:rPr>
          <w:rFonts w:ascii="Times New Roman" w:hAnsi="Times New Roman" w:cs="Times New Roman"/>
          <w:sz w:val="32"/>
          <w:szCs w:val="32"/>
        </w:rPr>
      </w:pPr>
      <w:r>
        <w:rPr>
          <w:rFonts w:ascii="Times New Roman" w:hAnsi="Times New Roman" w:cs="Times New Roman"/>
          <w:sz w:val="32"/>
          <w:szCs w:val="32"/>
        </w:rPr>
        <w:pict w14:anchorId="171C47F8">
          <v:rect id="_x0000_i1028" style="width:0;height:1.5pt" o:hralign="center" o:hrstd="t" o:hr="t" fillcolor="#a0a0a0" stroked="f"/>
        </w:pict>
      </w:r>
    </w:p>
    <w:p w14:paraId="0B2ED2EC"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5. Additional Context</w:t>
      </w:r>
    </w:p>
    <w:p w14:paraId="1E5E4CAD"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Recent Developments</w:t>
      </w:r>
    </w:p>
    <w:p w14:paraId="22B05161"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 xml:space="preserve">Tasmania’s wine industry has seen rapid growth, with an increasing number of boutique producers focusing on organic and biodynamic viticulture. The region’s reputation for high-quality sparkling wines has also attracted international </w:t>
      </w:r>
      <w:proofErr w:type="gramStart"/>
      <w:r w:rsidRPr="00DA7316">
        <w:rPr>
          <w:rFonts w:ascii="Times New Roman" w:hAnsi="Times New Roman" w:cs="Times New Roman"/>
          <w:sz w:val="32"/>
          <w:szCs w:val="32"/>
        </w:rPr>
        <w:t>investment .</w:t>
      </w:r>
      <w:proofErr w:type="gramEnd"/>
    </w:p>
    <w:p w14:paraId="612EC97B"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Food Pairing Notes</w:t>
      </w:r>
    </w:p>
    <w:p w14:paraId="5AF46C51" w14:textId="77777777" w:rsidR="00537821" w:rsidRPr="00DA7316" w:rsidRDefault="00537821" w:rsidP="00537821">
      <w:pPr>
        <w:numPr>
          <w:ilvl w:val="0"/>
          <w:numId w:val="16"/>
        </w:numPr>
        <w:rPr>
          <w:rFonts w:ascii="Times New Roman" w:hAnsi="Times New Roman" w:cs="Times New Roman"/>
          <w:sz w:val="32"/>
          <w:szCs w:val="32"/>
        </w:rPr>
      </w:pPr>
      <w:r w:rsidRPr="00DA7316">
        <w:rPr>
          <w:rFonts w:ascii="Times New Roman" w:hAnsi="Times New Roman" w:cs="Times New Roman"/>
          <w:sz w:val="32"/>
          <w:szCs w:val="32"/>
        </w:rPr>
        <w:t>Sparkling Wine – Fresh oysters, seafood, soft cheeses</w:t>
      </w:r>
    </w:p>
    <w:p w14:paraId="6DEC4A32" w14:textId="77777777" w:rsidR="00537821" w:rsidRPr="00DA7316" w:rsidRDefault="00537821" w:rsidP="00537821">
      <w:pPr>
        <w:numPr>
          <w:ilvl w:val="0"/>
          <w:numId w:val="16"/>
        </w:numPr>
        <w:rPr>
          <w:rFonts w:ascii="Times New Roman" w:hAnsi="Times New Roman" w:cs="Times New Roman"/>
          <w:sz w:val="32"/>
          <w:szCs w:val="32"/>
        </w:rPr>
      </w:pPr>
      <w:r w:rsidRPr="00DA7316">
        <w:rPr>
          <w:rFonts w:ascii="Times New Roman" w:hAnsi="Times New Roman" w:cs="Times New Roman"/>
          <w:sz w:val="32"/>
          <w:szCs w:val="32"/>
        </w:rPr>
        <w:t>Pinot Noir – Duck, lamb, mushroom-based dishes</w:t>
      </w:r>
    </w:p>
    <w:p w14:paraId="1CE75A26" w14:textId="77777777" w:rsidR="00537821" w:rsidRPr="00DA7316" w:rsidRDefault="00537821" w:rsidP="00537821">
      <w:pPr>
        <w:numPr>
          <w:ilvl w:val="0"/>
          <w:numId w:val="16"/>
        </w:numPr>
        <w:rPr>
          <w:rFonts w:ascii="Times New Roman" w:hAnsi="Times New Roman" w:cs="Times New Roman"/>
          <w:sz w:val="32"/>
          <w:szCs w:val="32"/>
        </w:rPr>
      </w:pPr>
      <w:r w:rsidRPr="00DA7316">
        <w:rPr>
          <w:rFonts w:ascii="Times New Roman" w:hAnsi="Times New Roman" w:cs="Times New Roman"/>
          <w:sz w:val="32"/>
          <w:szCs w:val="32"/>
        </w:rPr>
        <w:t xml:space="preserve">Riesling – Asian cuisine, shellfish, spicy </w:t>
      </w:r>
      <w:proofErr w:type="gramStart"/>
      <w:r w:rsidRPr="00DA7316">
        <w:rPr>
          <w:rFonts w:ascii="Times New Roman" w:hAnsi="Times New Roman" w:cs="Times New Roman"/>
          <w:sz w:val="32"/>
          <w:szCs w:val="32"/>
        </w:rPr>
        <w:t>dishes .</w:t>
      </w:r>
      <w:proofErr w:type="gramEnd"/>
    </w:p>
    <w:p w14:paraId="727A328D"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Producer Information</w:t>
      </w:r>
    </w:p>
    <w:p w14:paraId="54F247C1" w14:textId="77777777" w:rsidR="00537821" w:rsidRPr="00DA7316" w:rsidRDefault="00537821" w:rsidP="00537821">
      <w:pPr>
        <w:numPr>
          <w:ilvl w:val="0"/>
          <w:numId w:val="17"/>
        </w:numPr>
        <w:rPr>
          <w:rFonts w:ascii="Times New Roman" w:hAnsi="Times New Roman" w:cs="Times New Roman"/>
          <w:sz w:val="32"/>
          <w:szCs w:val="32"/>
        </w:rPr>
      </w:pPr>
      <w:r w:rsidRPr="00DA7316">
        <w:rPr>
          <w:rFonts w:ascii="Times New Roman" w:hAnsi="Times New Roman" w:cs="Times New Roman"/>
          <w:sz w:val="32"/>
          <w:szCs w:val="32"/>
        </w:rPr>
        <w:t>House of Arras – Australia’s premier sparkling wine producer</w:t>
      </w:r>
    </w:p>
    <w:p w14:paraId="6DB78CC1" w14:textId="77777777" w:rsidR="00537821" w:rsidRPr="00DA7316" w:rsidRDefault="00537821" w:rsidP="00537821">
      <w:pPr>
        <w:numPr>
          <w:ilvl w:val="0"/>
          <w:numId w:val="17"/>
        </w:numPr>
        <w:rPr>
          <w:rFonts w:ascii="Times New Roman" w:hAnsi="Times New Roman" w:cs="Times New Roman"/>
          <w:sz w:val="32"/>
          <w:szCs w:val="32"/>
        </w:rPr>
      </w:pPr>
      <w:r w:rsidRPr="00DA7316">
        <w:rPr>
          <w:rFonts w:ascii="Times New Roman" w:hAnsi="Times New Roman" w:cs="Times New Roman"/>
          <w:sz w:val="32"/>
          <w:szCs w:val="32"/>
        </w:rPr>
        <w:t>Jansz Tasmania – Pioneering sparkling wine house</w:t>
      </w:r>
    </w:p>
    <w:p w14:paraId="359FB98E" w14:textId="77777777" w:rsidR="00537821" w:rsidRPr="00DA7316" w:rsidRDefault="00537821" w:rsidP="00537821">
      <w:pPr>
        <w:numPr>
          <w:ilvl w:val="0"/>
          <w:numId w:val="17"/>
        </w:numPr>
        <w:rPr>
          <w:rFonts w:ascii="Times New Roman" w:hAnsi="Times New Roman" w:cs="Times New Roman"/>
          <w:sz w:val="32"/>
          <w:szCs w:val="32"/>
        </w:rPr>
      </w:pPr>
      <w:r w:rsidRPr="00DA7316">
        <w:rPr>
          <w:rFonts w:ascii="Times New Roman" w:hAnsi="Times New Roman" w:cs="Times New Roman"/>
          <w:sz w:val="32"/>
          <w:szCs w:val="32"/>
        </w:rPr>
        <w:t>Stefano Lubiana – Biodynamic-focused producer excelling in Pinot Noir and Chardonnay</w:t>
      </w:r>
    </w:p>
    <w:p w14:paraId="4B9E56B9" w14:textId="77777777" w:rsidR="00537821" w:rsidRPr="00DA7316" w:rsidRDefault="00537821" w:rsidP="00537821">
      <w:pPr>
        <w:numPr>
          <w:ilvl w:val="0"/>
          <w:numId w:val="17"/>
        </w:numPr>
        <w:rPr>
          <w:rFonts w:ascii="Times New Roman" w:hAnsi="Times New Roman" w:cs="Times New Roman"/>
          <w:sz w:val="32"/>
          <w:szCs w:val="32"/>
        </w:rPr>
      </w:pPr>
      <w:r w:rsidRPr="00DA7316">
        <w:rPr>
          <w:rFonts w:ascii="Times New Roman" w:hAnsi="Times New Roman" w:cs="Times New Roman"/>
          <w:sz w:val="32"/>
          <w:szCs w:val="32"/>
        </w:rPr>
        <w:t>Pooley Wines – Coal River Valley producer known for elegant Pinot Noir and Riesling</w:t>
      </w:r>
    </w:p>
    <w:p w14:paraId="1471E4C1" w14:textId="77777777" w:rsidR="00537821" w:rsidRPr="00DA7316" w:rsidRDefault="00000000" w:rsidP="00537821">
      <w:pPr>
        <w:rPr>
          <w:rFonts w:ascii="Times New Roman" w:hAnsi="Times New Roman" w:cs="Times New Roman"/>
          <w:sz w:val="32"/>
          <w:szCs w:val="32"/>
        </w:rPr>
      </w:pPr>
      <w:r>
        <w:rPr>
          <w:rFonts w:ascii="Times New Roman" w:hAnsi="Times New Roman" w:cs="Times New Roman"/>
          <w:sz w:val="32"/>
          <w:szCs w:val="32"/>
        </w:rPr>
        <w:pict w14:anchorId="3301B9A8">
          <v:rect id="_x0000_i1029" style="width:0;height:1.5pt" o:hralign="center" o:hrstd="t" o:hr="t" fillcolor="#a0a0a0" stroked="f"/>
        </w:pict>
      </w:r>
    </w:p>
    <w:p w14:paraId="70618904"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6. Key Takeaways for Sommeliers</w:t>
      </w:r>
    </w:p>
    <w:p w14:paraId="68D2548A"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lastRenderedPageBreak/>
        <w:t>Tasmania is Australia’s leading cool-climate region, excelling in Pinot Noir and Chardonnay.</w:t>
      </w:r>
    </w:p>
    <w:p w14:paraId="68021629"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Its sparkling wines rival those from Champagne due to the region’s climate and meticulous winemaking.</w:t>
      </w:r>
    </w:p>
    <w:p w14:paraId="33190F8B"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The region’s Rieslings are highly regarded for their acidity and purity.</w:t>
      </w:r>
    </w:p>
    <w:p w14:paraId="63760982"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Tasmania lacks an official appellation hierarchy but has well-recognized sub-regions with distinct styles.</w:t>
      </w:r>
    </w:p>
    <w:p w14:paraId="42579B0A"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Sustainability and organic practices are increasingly shaping production methods.</w:t>
      </w:r>
    </w:p>
    <w:p w14:paraId="2D1C401E"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Tasmania is Australia’s leading cool-climate region, excelling in Pinot Noir and Chardonnay.</w:t>
      </w:r>
    </w:p>
    <w:p w14:paraId="2FD478F8"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Its sparkling wines rival those from Champagne due to the region’s climate and meticulous winemaking.</w:t>
      </w:r>
    </w:p>
    <w:p w14:paraId="0531932C"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The region’s Rieslings are highly regarded for their acidity and purity.</w:t>
      </w:r>
    </w:p>
    <w:p w14:paraId="59E7A0A0" w14:textId="77777777"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Tasmania lacks an official appellation hierarchy but has well-recognized sub-regions with distinct styles.</w:t>
      </w:r>
    </w:p>
    <w:p w14:paraId="38D3B6E5" w14:textId="19706F26" w:rsidR="00537821" w:rsidRPr="00DA7316" w:rsidRDefault="00537821" w:rsidP="00537821">
      <w:pPr>
        <w:numPr>
          <w:ilvl w:val="0"/>
          <w:numId w:val="18"/>
        </w:numPr>
        <w:rPr>
          <w:rFonts w:ascii="Times New Roman" w:hAnsi="Times New Roman" w:cs="Times New Roman"/>
          <w:sz w:val="32"/>
          <w:szCs w:val="32"/>
        </w:rPr>
      </w:pPr>
      <w:r w:rsidRPr="00DA7316">
        <w:rPr>
          <w:rFonts w:ascii="Times New Roman" w:hAnsi="Times New Roman" w:cs="Times New Roman"/>
          <w:sz w:val="32"/>
          <w:szCs w:val="32"/>
        </w:rPr>
        <w:t xml:space="preserve">Sustainability and organic practices are increasingly shaping production </w:t>
      </w:r>
      <w:proofErr w:type="gramStart"/>
      <w:r w:rsidRPr="00DA7316">
        <w:rPr>
          <w:rFonts w:ascii="Times New Roman" w:hAnsi="Times New Roman" w:cs="Times New Roman"/>
          <w:sz w:val="32"/>
          <w:szCs w:val="32"/>
        </w:rPr>
        <w:t>methods .</w:t>
      </w:r>
      <w:proofErr w:type="gramEnd"/>
    </w:p>
    <w:p w14:paraId="35E3AE2B" w14:textId="77777777" w:rsidR="00537821" w:rsidRPr="00DA7316" w:rsidRDefault="00000000" w:rsidP="00537821">
      <w:pPr>
        <w:rPr>
          <w:rFonts w:ascii="Times New Roman" w:hAnsi="Times New Roman" w:cs="Times New Roman"/>
          <w:sz w:val="32"/>
          <w:szCs w:val="32"/>
        </w:rPr>
      </w:pPr>
      <w:r>
        <w:rPr>
          <w:rFonts w:ascii="Times New Roman" w:hAnsi="Times New Roman" w:cs="Times New Roman"/>
          <w:sz w:val="32"/>
          <w:szCs w:val="32"/>
        </w:rPr>
        <w:pict w14:anchorId="643C28B9">
          <v:rect id="_x0000_i1030" style="width:0;height:1.5pt" o:hralign="center" o:hrstd="t" o:hr="t" fillcolor="#a0a0a0" stroked="f"/>
        </w:pict>
      </w:r>
    </w:p>
    <w:p w14:paraId="7A9D71CC" w14:textId="77777777" w:rsidR="00537821" w:rsidRPr="00DA7316" w:rsidRDefault="00537821" w:rsidP="00537821">
      <w:pPr>
        <w:rPr>
          <w:rFonts w:ascii="Times New Roman" w:hAnsi="Times New Roman" w:cs="Times New Roman"/>
          <w:sz w:val="32"/>
          <w:szCs w:val="32"/>
        </w:rPr>
      </w:pPr>
      <w:r w:rsidRPr="00DA7316">
        <w:rPr>
          <w:rFonts w:ascii="Times New Roman" w:hAnsi="Times New Roman" w:cs="Times New Roman"/>
          <w:sz w:val="32"/>
          <w:szCs w:val="32"/>
        </w:rPr>
        <w:t>7. Citations and References</w:t>
      </w:r>
    </w:p>
    <w:p w14:paraId="05239892"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t xml:space="preserve">Wine Australia, 2023. </w:t>
      </w:r>
      <w:hyperlink r:id="rId10" w:history="1">
        <w:r w:rsidRPr="00DA7316">
          <w:rPr>
            <w:rStyle w:val="Hyperlink"/>
            <w:rFonts w:ascii="Times New Roman" w:hAnsi="Times New Roman" w:cs="Times New Roman"/>
            <w:sz w:val="32"/>
            <w:szCs w:val="32"/>
          </w:rPr>
          <w:t>https://www.wineaustralia.com/</w:t>
        </w:r>
      </w:hyperlink>
    </w:p>
    <w:p w14:paraId="41A0DD73"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t xml:space="preserve">Halliday Wine Companion, 2023. </w:t>
      </w:r>
      <w:hyperlink r:id="rId11" w:history="1">
        <w:r w:rsidRPr="00DA7316">
          <w:rPr>
            <w:rStyle w:val="Hyperlink"/>
            <w:rFonts w:ascii="Times New Roman" w:hAnsi="Times New Roman" w:cs="Times New Roman"/>
            <w:sz w:val="32"/>
            <w:szCs w:val="32"/>
          </w:rPr>
          <w:t>https://www.winecompanion.com.au/</w:t>
        </w:r>
      </w:hyperlink>
    </w:p>
    <w:p w14:paraId="535C5865"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lastRenderedPageBreak/>
        <w:t xml:space="preserve">Tasmanian Wine Show, 2022. </w:t>
      </w:r>
      <w:hyperlink r:id="rId12" w:history="1">
        <w:r w:rsidRPr="00DA7316">
          <w:rPr>
            <w:rStyle w:val="Hyperlink"/>
            <w:rFonts w:ascii="Times New Roman" w:hAnsi="Times New Roman" w:cs="Times New Roman"/>
            <w:sz w:val="32"/>
            <w:szCs w:val="32"/>
          </w:rPr>
          <w:t>https://www.tasmanianwineshow.com.au/</w:t>
        </w:r>
      </w:hyperlink>
    </w:p>
    <w:p w14:paraId="18B80FCF"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t xml:space="preserve">Australian Wine Research Institute, 2023. </w:t>
      </w:r>
      <w:hyperlink r:id="rId13" w:history="1">
        <w:r w:rsidRPr="00DA7316">
          <w:rPr>
            <w:rStyle w:val="Hyperlink"/>
            <w:rFonts w:ascii="Times New Roman" w:hAnsi="Times New Roman" w:cs="Times New Roman"/>
            <w:sz w:val="32"/>
            <w:szCs w:val="32"/>
          </w:rPr>
          <w:t>https://www.awri.com.au/</w:t>
        </w:r>
      </w:hyperlink>
    </w:p>
    <w:p w14:paraId="68432800"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t xml:space="preserve">Decanter, 2023. </w:t>
      </w:r>
      <w:hyperlink r:id="rId14" w:history="1">
        <w:r w:rsidRPr="00DA7316">
          <w:rPr>
            <w:rStyle w:val="Hyperlink"/>
            <w:rFonts w:ascii="Times New Roman" w:hAnsi="Times New Roman" w:cs="Times New Roman"/>
            <w:sz w:val="32"/>
            <w:szCs w:val="32"/>
          </w:rPr>
          <w:t>https://www.decanter.com/</w:t>
        </w:r>
      </w:hyperlink>
    </w:p>
    <w:p w14:paraId="736283DB"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t xml:space="preserve">Wine Tasmania, 2023. </w:t>
      </w:r>
      <w:hyperlink r:id="rId15" w:history="1">
        <w:r w:rsidRPr="00DA7316">
          <w:rPr>
            <w:rStyle w:val="Hyperlink"/>
            <w:rFonts w:ascii="Times New Roman" w:hAnsi="Times New Roman" w:cs="Times New Roman"/>
            <w:sz w:val="32"/>
            <w:szCs w:val="32"/>
          </w:rPr>
          <w:t>https://winetasmania.com.au/</w:t>
        </w:r>
      </w:hyperlink>
    </w:p>
    <w:p w14:paraId="25694C11"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t xml:space="preserve">House of Arras, 2023. </w:t>
      </w:r>
      <w:hyperlink r:id="rId16" w:history="1">
        <w:r w:rsidRPr="00DA7316">
          <w:rPr>
            <w:rStyle w:val="Hyperlink"/>
            <w:rFonts w:ascii="Times New Roman" w:hAnsi="Times New Roman" w:cs="Times New Roman"/>
            <w:sz w:val="32"/>
            <w:szCs w:val="32"/>
          </w:rPr>
          <w:t>https://www.houseofarras.com.au/</w:t>
        </w:r>
      </w:hyperlink>
    </w:p>
    <w:p w14:paraId="5397E40B" w14:textId="77777777" w:rsidR="00537821" w:rsidRPr="00DA7316" w:rsidRDefault="00537821" w:rsidP="00537821">
      <w:pPr>
        <w:numPr>
          <w:ilvl w:val="0"/>
          <w:numId w:val="19"/>
        </w:numPr>
        <w:rPr>
          <w:rFonts w:ascii="Times New Roman" w:hAnsi="Times New Roman" w:cs="Times New Roman"/>
          <w:sz w:val="32"/>
          <w:szCs w:val="32"/>
        </w:rPr>
      </w:pPr>
      <w:r w:rsidRPr="00DA7316">
        <w:rPr>
          <w:rFonts w:ascii="Times New Roman" w:hAnsi="Times New Roman" w:cs="Times New Roman"/>
          <w:sz w:val="32"/>
          <w:szCs w:val="32"/>
        </w:rPr>
        <w:t xml:space="preserve">Gourmet </w:t>
      </w:r>
      <w:proofErr w:type="spellStart"/>
      <w:r w:rsidRPr="00DA7316">
        <w:rPr>
          <w:rFonts w:ascii="Times New Roman" w:hAnsi="Times New Roman" w:cs="Times New Roman"/>
          <w:sz w:val="32"/>
          <w:szCs w:val="32"/>
        </w:rPr>
        <w:t>Traveller</w:t>
      </w:r>
      <w:proofErr w:type="spellEnd"/>
      <w:r w:rsidRPr="00DA7316">
        <w:rPr>
          <w:rFonts w:ascii="Times New Roman" w:hAnsi="Times New Roman" w:cs="Times New Roman"/>
          <w:sz w:val="32"/>
          <w:szCs w:val="32"/>
        </w:rPr>
        <w:t xml:space="preserve"> Wine, 2023. </w:t>
      </w:r>
      <w:hyperlink r:id="rId17" w:history="1">
        <w:r w:rsidRPr="00DA7316">
          <w:rPr>
            <w:rStyle w:val="Hyperlink"/>
            <w:rFonts w:ascii="Times New Roman" w:hAnsi="Times New Roman" w:cs="Times New Roman"/>
            <w:sz w:val="32"/>
            <w:szCs w:val="32"/>
          </w:rPr>
          <w:t>https://www.gourmettravellerwine.com/</w:t>
        </w:r>
      </w:hyperlink>
    </w:p>
    <w:sectPr w:rsidR="00537821" w:rsidRPr="00DA73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02F6" w14:textId="77777777" w:rsidR="0040388E" w:rsidRDefault="0040388E" w:rsidP="002C57DE">
      <w:pPr>
        <w:spacing w:after="0" w:line="240" w:lineRule="auto"/>
      </w:pPr>
      <w:r>
        <w:separator/>
      </w:r>
    </w:p>
  </w:endnote>
  <w:endnote w:type="continuationSeparator" w:id="0">
    <w:p w14:paraId="2F6139A0" w14:textId="77777777" w:rsidR="0040388E" w:rsidRDefault="0040388E" w:rsidP="002C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8866" w14:textId="77777777" w:rsidR="0040388E" w:rsidRDefault="0040388E" w:rsidP="002C57DE">
      <w:pPr>
        <w:spacing w:after="0" w:line="240" w:lineRule="auto"/>
      </w:pPr>
      <w:r>
        <w:separator/>
      </w:r>
    </w:p>
  </w:footnote>
  <w:footnote w:type="continuationSeparator" w:id="0">
    <w:p w14:paraId="4DFE4D59" w14:textId="77777777" w:rsidR="0040388E" w:rsidRDefault="0040388E" w:rsidP="002C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88D"/>
    <w:multiLevelType w:val="multilevel"/>
    <w:tmpl w:val="075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2749D"/>
    <w:multiLevelType w:val="multilevel"/>
    <w:tmpl w:val="FA2C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675C2"/>
    <w:multiLevelType w:val="multilevel"/>
    <w:tmpl w:val="A93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220D6"/>
    <w:multiLevelType w:val="multilevel"/>
    <w:tmpl w:val="D78E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B4054"/>
    <w:multiLevelType w:val="multilevel"/>
    <w:tmpl w:val="55D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07111"/>
    <w:multiLevelType w:val="multilevel"/>
    <w:tmpl w:val="B728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C0777"/>
    <w:multiLevelType w:val="multilevel"/>
    <w:tmpl w:val="2D00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97657"/>
    <w:multiLevelType w:val="multilevel"/>
    <w:tmpl w:val="5544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772AE"/>
    <w:multiLevelType w:val="multilevel"/>
    <w:tmpl w:val="B71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E050B"/>
    <w:multiLevelType w:val="multilevel"/>
    <w:tmpl w:val="287E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C6E97"/>
    <w:multiLevelType w:val="multilevel"/>
    <w:tmpl w:val="E72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54DD5"/>
    <w:multiLevelType w:val="multilevel"/>
    <w:tmpl w:val="457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4468A"/>
    <w:multiLevelType w:val="multilevel"/>
    <w:tmpl w:val="D00A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F420D"/>
    <w:multiLevelType w:val="multilevel"/>
    <w:tmpl w:val="7422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A36D2"/>
    <w:multiLevelType w:val="multilevel"/>
    <w:tmpl w:val="921A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5619C"/>
    <w:multiLevelType w:val="multilevel"/>
    <w:tmpl w:val="B5F2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E69DF"/>
    <w:multiLevelType w:val="multilevel"/>
    <w:tmpl w:val="C69C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647C9"/>
    <w:multiLevelType w:val="multilevel"/>
    <w:tmpl w:val="538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840014"/>
    <w:multiLevelType w:val="multilevel"/>
    <w:tmpl w:val="3A64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418335">
    <w:abstractNumId w:val="1"/>
  </w:num>
  <w:num w:numId="2" w16cid:durableId="820318045">
    <w:abstractNumId w:val="18"/>
  </w:num>
  <w:num w:numId="3" w16cid:durableId="795678897">
    <w:abstractNumId w:val="10"/>
  </w:num>
  <w:num w:numId="4" w16cid:durableId="1208832491">
    <w:abstractNumId w:val="0"/>
  </w:num>
  <w:num w:numId="5" w16cid:durableId="215048931">
    <w:abstractNumId w:val="15"/>
  </w:num>
  <w:num w:numId="6" w16cid:durableId="28576786">
    <w:abstractNumId w:val="5"/>
  </w:num>
  <w:num w:numId="7" w16cid:durableId="742720434">
    <w:abstractNumId w:val="16"/>
  </w:num>
  <w:num w:numId="8" w16cid:durableId="2076199181">
    <w:abstractNumId w:val="17"/>
  </w:num>
  <w:num w:numId="9" w16cid:durableId="828520812">
    <w:abstractNumId w:val="4"/>
  </w:num>
  <w:num w:numId="10" w16cid:durableId="866986611">
    <w:abstractNumId w:val="12"/>
  </w:num>
  <w:num w:numId="11" w16cid:durableId="499346955">
    <w:abstractNumId w:val="9"/>
  </w:num>
  <w:num w:numId="12" w16cid:durableId="1557622531">
    <w:abstractNumId w:val="3"/>
  </w:num>
  <w:num w:numId="13" w16cid:durableId="762259704">
    <w:abstractNumId w:val="6"/>
  </w:num>
  <w:num w:numId="14" w16cid:durableId="1554078269">
    <w:abstractNumId w:val="13"/>
  </w:num>
  <w:num w:numId="15" w16cid:durableId="755832578">
    <w:abstractNumId w:val="2"/>
  </w:num>
  <w:num w:numId="16" w16cid:durableId="118838425">
    <w:abstractNumId w:val="8"/>
  </w:num>
  <w:num w:numId="17" w16cid:durableId="237137572">
    <w:abstractNumId w:val="11"/>
  </w:num>
  <w:num w:numId="18" w16cid:durableId="55206112">
    <w:abstractNumId w:val="14"/>
  </w:num>
  <w:num w:numId="19" w16cid:durableId="1237742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21"/>
    <w:rsid w:val="0029483B"/>
    <w:rsid w:val="002C57DE"/>
    <w:rsid w:val="0040388E"/>
    <w:rsid w:val="00537821"/>
    <w:rsid w:val="007424B2"/>
    <w:rsid w:val="00A07C4B"/>
    <w:rsid w:val="00A90D54"/>
    <w:rsid w:val="00DA7316"/>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82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8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8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8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8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8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8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8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8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821"/>
    <w:rPr>
      <w:rFonts w:eastAsiaTheme="majorEastAsia" w:cstheme="majorBidi"/>
      <w:color w:val="272727" w:themeColor="text1" w:themeTint="D8"/>
    </w:rPr>
  </w:style>
  <w:style w:type="paragraph" w:styleId="Title">
    <w:name w:val="Title"/>
    <w:basedOn w:val="Normal"/>
    <w:next w:val="Normal"/>
    <w:link w:val="TitleChar"/>
    <w:uiPriority w:val="10"/>
    <w:qFormat/>
    <w:rsid w:val="00537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821"/>
    <w:pPr>
      <w:spacing w:before="160"/>
      <w:jc w:val="center"/>
    </w:pPr>
    <w:rPr>
      <w:i/>
      <w:iCs/>
      <w:color w:val="404040" w:themeColor="text1" w:themeTint="BF"/>
    </w:rPr>
  </w:style>
  <w:style w:type="character" w:customStyle="1" w:styleId="QuoteChar">
    <w:name w:val="Quote Char"/>
    <w:basedOn w:val="DefaultParagraphFont"/>
    <w:link w:val="Quote"/>
    <w:uiPriority w:val="29"/>
    <w:rsid w:val="00537821"/>
    <w:rPr>
      <w:i/>
      <w:iCs/>
      <w:color w:val="404040" w:themeColor="text1" w:themeTint="BF"/>
    </w:rPr>
  </w:style>
  <w:style w:type="paragraph" w:styleId="ListParagraph">
    <w:name w:val="List Paragraph"/>
    <w:basedOn w:val="Normal"/>
    <w:uiPriority w:val="34"/>
    <w:qFormat/>
    <w:rsid w:val="00537821"/>
    <w:pPr>
      <w:ind w:left="720"/>
      <w:contextualSpacing/>
    </w:pPr>
  </w:style>
  <w:style w:type="character" w:styleId="IntenseEmphasis">
    <w:name w:val="Intense Emphasis"/>
    <w:basedOn w:val="DefaultParagraphFont"/>
    <w:uiPriority w:val="21"/>
    <w:qFormat/>
    <w:rsid w:val="00537821"/>
    <w:rPr>
      <w:i/>
      <w:iCs/>
      <w:color w:val="2F5496" w:themeColor="accent1" w:themeShade="BF"/>
    </w:rPr>
  </w:style>
  <w:style w:type="paragraph" w:styleId="IntenseQuote">
    <w:name w:val="Intense Quote"/>
    <w:basedOn w:val="Normal"/>
    <w:next w:val="Normal"/>
    <w:link w:val="IntenseQuoteChar"/>
    <w:uiPriority w:val="30"/>
    <w:qFormat/>
    <w:rsid w:val="00537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821"/>
    <w:rPr>
      <w:i/>
      <w:iCs/>
      <w:color w:val="2F5496" w:themeColor="accent1" w:themeShade="BF"/>
    </w:rPr>
  </w:style>
  <w:style w:type="character" w:styleId="IntenseReference">
    <w:name w:val="Intense Reference"/>
    <w:basedOn w:val="DefaultParagraphFont"/>
    <w:uiPriority w:val="32"/>
    <w:qFormat/>
    <w:rsid w:val="00537821"/>
    <w:rPr>
      <w:b/>
      <w:bCs/>
      <w:smallCaps/>
      <w:color w:val="2F5496" w:themeColor="accent1" w:themeShade="BF"/>
      <w:spacing w:val="5"/>
    </w:rPr>
  </w:style>
  <w:style w:type="character" w:styleId="Hyperlink">
    <w:name w:val="Hyperlink"/>
    <w:basedOn w:val="DefaultParagraphFont"/>
    <w:uiPriority w:val="99"/>
    <w:unhideWhenUsed/>
    <w:rsid w:val="00537821"/>
    <w:rPr>
      <w:color w:val="0563C1" w:themeColor="hyperlink"/>
      <w:u w:val="single"/>
    </w:rPr>
  </w:style>
  <w:style w:type="character" w:styleId="UnresolvedMention">
    <w:name w:val="Unresolved Mention"/>
    <w:basedOn w:val="DefaultParagraphFont"/>
    <w:uiPriority w:val="99"/>
    <w:semiHidden/>
    <w:unhideWhenUsed/>
    <w:rsid w:val="00537821"/>
    <w:rPr>
      <w:color w:val="605E5C"/>
      <w:shd w:val="clear" w:color="auto" w:fill="E1DFDD"/>
    </w:rPr>
  </w:style>
  <w:style w:type="paragraph" w:styleId="Header">
    <w:name w:val="header"/>
    <w:basedOn w:val="Normal"/>
    <w:link w:val="HeaderChar"/>
    <w:uiPriority w:val="99"/>
    <w:unhideWhenUsed/>
    <w:rsid w:val="002C5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7DE"/>
  </w:style>
  <w:style w:type="paragraph" w:styleId="Footer">
    <w:name w:val="footer"/>
    <w:basedOn w:val="Normal"/>
    <w:link w:val="FooterChar"/>
    <w:uiPriority w:val="99"/>
    <w:unhideWhenUsed/>
    <w:rsid w:val="002C5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7905">
      <w:bodyDiv w:val="1"/>
      <w:marLeft w:val="0"/>
      <w:marRight w:val="0"/>
      <w:marTop w:val="0"/>
      <w:marBottom w:val="0"/>
      <w:divBdr>
        <w:top w:val="none" w:sz="0" w:space="0" w:color="auto"/>
        <w:left w:val="none" w:sz="0" w:space="0" w:color="auto"/>
        <w:bottom w:val="none" w:sz="0" w:space="0" w:color="auto"/>
        <w:right w:val="none" w:sz="0" w:space="0" w:color="auto"/>
      </w:divBdr>
      <w:divsChild>
        <w:div w:id="1787894627">
          <w:marLeft w:val="0"/>
          <w:marRight w:val="0"/>
          <w:marTop w:val="0"/>
          <w:marBottom w:val="0"/>
          <w:divBdr>
            <w:top w:val="none" w:sz="0" w:space="0" w:color="auto"/>
            <w:left w:val="none" w:sz="0" w:space="0" w:color="auto"/>
            <w:bottom w:val="none" w:sz="0" w:space="0" w:color="auto"/>
            <w:right w:val="none" w:sz="0" w:space="0" w:color="auto"/>
          </w:divBdr>
        </w:div>
        <w:div w:id="1723825418">
          <w:marLeft w:val="0"/>
          <w:marRight w:val="0"/>
          <w:marTop w:val="0"/>
          <w:marBottom w:val="0"/>
          <w:divBdr>
            <w:top w:val="none" w:sz="0" w:space="0" w:color="auto"/>
            <w:left w:val="none" w:sz="0" w:space="0" w:color="auto"/>
            <w:bottom w:val="none" w:sz="0" w:space="0" w:color="auto"/>
            <w:right w:val="none" w:sz="0" w:space="0" w:color="auto"/>
          </w:divBdr>
        </w:div>
        <w:div w:id="706367567">
          <w:marLeft w:val="0"/>
          <w:marRight w:val="0"/>
          <w:marTop w:val="0"/>
          <w:marBottom w:val="0"/>
          <w:divBdr>
            <w:top w:val="none" w:sz="0" w:space="0" w:color="auto"/>
            <w:left w:val="none" w:sz="0" w:space="0" w:color="auto"/>
            <w:bottom w:val="none" w:sz="0" w:space="0" w:color="auto"/>
            <w:right w:val="none" w:sz="0" w:space="0" w:color="auto"/>
          </w:divBdr>
        </w:div>
        <w:div w:id="1242258049">
          <w:marLeft w:val="0"/>
          <w:marRight w:val="0"/>
          <w:marTop w:val="0"/>
          <w:marBottom w:val="0"/>
          <w:divBdr>
            <w:top w:val="none" w:sz="0" w:space="0" w:color="auto"/>
            <w:left w:val="none" w:sz="0" w:space="0" w:color="auto"/>
            <w:bottom w:val="none" w:sz="0" w:space="0" w:color="auto"/>
            <w:right w:val="none" w:sz="0" w:space="0" w:color="auto"/>
          </w:divBdr>
        </w:div>
        <w:div w:id="1645231808">
          <w:marLeft w:val="0"/>
          <w:marRight w:val="0"/>
          <w:marTop w:val="0"/>
          <w:marBottom w:val="0"/>
          <w:divBdr>
            <w:top w:val="none" w:sz="0" w:space="0" w:color="auto"/>
            <w:left w:val="none" w:sz="0" w:space="0" w:color="auto"/>
            <w:bottom w:val="none" w:sz="0" w:space="0" w:color="auto"/>
            <w:right w:val="none" w:sz="0" w:space="0" w:color="auto"/>
          </w:divBdr>
        </w:div>
        <w:div w:id="953901297">
          <w:marLeft w:val="0"/>
          <w:marRight w:val="0"/>
          <w:marTop w:val="0"/>
          <w:marBottom w:val="0"/>
          <w:divBdr>
            <w:top w:val="none" w:sz="0" w:space="0" w:color="auto"/>
            <w:left w:val="none" w:sz="0" w:space="0" w:color="auto"/>
            <w:bottom w:val="none" w:sz="0" w:space="0" w:color="auto"/>
            <w:right w:val="none" w:sz="0" w:space="0" w:color="auto"/>
          </w:divBdr>
        </w:div>
      </w:divsChild>
    </w:div>
    <w:div w:id="427653136">
      <w:bodyDiv w:val="1"/>
      <w:marLeft w:val="0"/>
      <w:marRight w:val="0"/>
      <w:marTop w:val="0"/>
      <w:marBottom w:val="0"/>
      <w:divBdr>
        <w:top w:val="none" w:sz="0" w:space="0" w:color="auto"/>
        <w:left w:val="none" w:sz="0" w:space="0" w:color="auto"/>
        <w:bottom w:val="none" w:sz="0" w:space="0" w:color="auto"/>
        <w:right w:val="none" w:sz="0" w:space="0" w:color="auto"/>
      </w:divBdr>
      <w:divsChild>
        <w:div w:id="323826165">
          <w:marLeft w:val="0"/>
          <w:marRight w:val="0"/>
          <w:marTop w:val="0"/>
          <w:marBottom w:val="0"/>
          <w:divBdr>
            <w:top w:val="none" w:sz="0" w:space="0" w:color="auto"/>
            <w:left w:val="none" w:sz="0" w:space="0" w:color="auto"/>
            <w:bottom w:val="none" w:sz="0" w:space="0" w:color="auto"/>
            <w:right w:val="none" w:sz="0" w:space="0" w:color="auto"/>
          </w:divBdr>
        </w:div>
        <w:div w:id="140657260">
          <w:marLeft w:val="0"/>
          <w:marRight w:val="0"/>
          <w:marTop w:val="0"/>
          <w:marBottom w:val="0"/>
          <w:divBdr>
            <w:top w:val="none" w:sz="0" w:space="0" w:color="auto"/>
            <w:left w:val="none" w:sz="0" w:space="0" w:color="auto"/>
            <w:bottom w:val="none" w:sz="0" w:space="0" w:color="auto"/>
            <w:right w:val="none" w:sz="0" w:space="0" w:color="auto"/>
          </w:divBdr>
        </w:div>
        <w:div w:id="1692149455">
          <w:marLeft w:val="0"/>
          <w:marRight w:val="0"/>
          <w:marTop w:val="0"/>
          <w:marBottom w:val="0"/>
          <w:divBdr>
            <w:top w:val="none" w:sz="0" w:space="0" w:color="auto"/>
            <w:left w:val="none" w:sz="0" w:space="0" w:color="auto"/>
            <w:bottom w:val="none" w:sz="0" w:space="0" w:color="auto"/>
            <w:right w:val="none" w:sz="0" w:space="0" w:color="auto"/>
          </w:divBdr>
        </w:div>
        <w:div w:id="1914005796">
          <w:marLeft w:val="0"/>
          <w:marRight w:val="0"/>
          <w:marTop w:val="0"/>
          <w:marBottom w:val="0"/>
          <w:divBdr>
            <w:top w:val="none" w:sz="0" w:space="0" w:color="auto"/>
            <w:left w:val="none" w:sz="0" w:space="0" w:color="auto"/>
            <w:bottom w:val="none" w:sz="0" w:space="0" w:color="auto"/>
            <w:right w:val="none" w:sz="0" w:space="0" w:color="auto"/>
          </w:divBdr>
        </w:div>
        <w:div w:id="211894147">
          <w:marLeft w:val="0"/>
          <w:marRight w:val="0"/>
          <w:marTop w:val="0"/>
          <w:marBottom w:val="0"/>
          <w:divBdr>
            <w:top w:val="none" w:sz="0" w:space="0" w:color="auto"/>
            <w:left w:val="none" w:sz="0" w:space="0" w:color="auto"/>
            <w:bottom w:val="none" w:sz="0" w:space="0" w:color="auto"/>
            <w:right w:val="none" w:sz="0" w:space="0" w:color="auto"/>
          </w:divBdr>
        </w:div>
      </w:divsChild>
    </w:div>
    <w:div w:id="744769040">
      <w:bodyDiv w:val="1"/>
      <w:marLeft w:val="0"/>
      <w:marRight w:val="0"/>
      <w:marTop w:val="0"/>
      <w:marBottom w:val="0"/>
      <w:divBdr>
        <w:top w:val="none" w:sz="0" w:space="0" w:color="auto"/>
        <w:left w:val="none" w:sz="0" w:space="0" w:color="auto"/>
        <w:bottom w:val="none" w:sz="0" w:space="0" w:color="auto"/>
        <w:right w:val="none" w:sz="0" w:space="0" w:color="auto"/>
      </w:divBdr>
      <w:divsChild>
        <w:div w:id="167990416">
          <w:marLeft w:val="0"/>
          <w:marRight w:val="0"/>
          <w:marTop w:val="0"/>
          <w:marBottom w:val="0"/>
          <w:divBdr>
            <w:top w:val="none" w:sz="0" w:space="0" w:color="auto"/>
            <w:left w:val="none" w:sz="0" w:space="0" w:color="auto"/>
            <w:bottom w:val="none" w:sz="0" w:space="0" w:color="auto"/>
            <w:right w:val="none" w:sz="0" w:space="0" w:color="auto"/>
          </w:divBdr>
        </w:div>
        <w:div w:id="813714426">
          <w:marLeft w:val="0"/>
          <w:marRight w:val="0"/>
          <w:marTop w:val="0"/>
          <w:marBottom w:val="0"/>
          <w:divBdr>
            <w:top w:val="none" w:sz="0" w:space="0" w:color="auto"/>
            <w:left w:val="none" w:sz="0" w:space="0" w:color="auto"/>
            <w:bottom w:val="none" w:sz="0" w:space="0" w:color="auto"/>
            <w:right w:val="none" w:sz="0" w:space="0" w:color="auto"/>
          </w:divBdr>
        </w:div>
        <w:div w:id="441339069">
          <w:marLeft w:val="0"/>
          <w:marRight w:val="0"/>
          <w:marTop w:val="0"/>
          <w:marBottom w:val="0"/>
          <w:divBdr>
            <w:top w:val="none" w:sz="0" w:space="0" w:color="auto"/>
            <w:left w:val="none" w:sz="0" w:space="0" w:color="auto"/>
            <w:bottom w:val="none" w:sz="0" w:space="0" w:color="auto"/>
            <w:right w:val="none" w:sz="0" w:space="0" w:color="auto"/>
          </w:divBdr>
        </w:div>
        <w:div w:id="1021392566">
          <w:marLeft w:val="0"/>
          <w:marRight w:val="0"/>
          <w:marTop w:val="0"/>
          <w:marBottom w:val="0"/>
          <w:divBdr>
            <w:top w:val="none" w:sz="0" w:space="0" w:color="auto"/>
            <w:left w:val="none" w:sz="0" w:space="0" w:color="auto"/>
            <w:bottom w:val="none" w:sz="0" w:space="0" w:color="auto"/>
            <w:right w:val="none" w:sz="0" w:space="0" w:color="auto"/>
          </w:divBdr>
        </w:div>
        <w:div w:id="262806960">
          <w:marLeft w:val="0"/>
          <w:marRight w:val="0"/>
          <w:marTop w:val="0"/>
          <w:marBottom w:val="0"/>
          <w:divBdr>
            <w:top w:val="none" w:sz="0" w:space="0" w:color="auto"/>
            <w:left w:val="none" w:sz="0" w:space="0" w:color="auto"/>
            <w:bottom w:val="none" w:sz="0" w:space="0" w:color="auto"/>
            <w:right w:val="none" w:sz="0" w:space="0" w:color="auto"/>
          </w:divBdr>
        </w:div>
        <w:div w:id="5137515">
          <w:marLeft w:val="0"/>
          <w:marRight w:val="0"/>
          <w:marTop w:val="0"/>
          <w:marBottom w:val="0"/>
          <w:divBdr>
            <w:top w:val="none" w:sz="0" w:space="0" w:color="auto"/>
            <w:left w:val="none" w:sz="0" w:space="0" w:color="auto"/>
            <w:bottom w:val="none" w:sz="0" w:space="0" w:color="auto"/>
            <w:right w:val="none" w:sz="0" w:space="0" w:color="auto"/>
          </w:divBdr>
        </w:div>
      </w:divsChild>
    </w:div>
    <w:div w:id="909079947">
      <w:bodyDiv w:val="1"/>
      <w:marLeft w:val="0"/>
      <w:marRight w:val="0"/>
      <w:marTop w:val="0"/>
      <w:marBottom w:val="0"/>
      <w:divBdr>
        <w:top w:val="none" w:sz="0" w:space="0" w:color="auto"/>
        <w:left w:val="none" w:sz="0" w:space="0" w:color="auto"/>
        <w:bottom w:val="none" w:sz="0" w:space="0" w:color="auto"/>
        <w:right w:val="none" w:sz="0" w:space="0" w:color="auto"/>
      </w:divBdr>
      <w:divsChild>
        <w:div w:id="721293303">
          <w:marLeft w:val="0"/>
          <w:marRight w:val="0"/>
          <w:marTop w:val="0"/>
          <w:marBottom w:val="0"/>
          <w:divBdr>
            <w:top w:val="none" w:sz="0" w:space="0" w:color="auto"/>
            <w:left w:val="none" w:sz="0" w:space="0" w:color="auto"/>
            <w:bottom w:val="none" w:sz="0" w:space="0" w:color="auto"/>
            <w:right w:val="none" w:sz="0" w:space="0" w:color="auto"/>
          </w:divBdr>
        </w:div>
        <w:div w:id="453670421">
          <w:marLeft w:val="0"/>
          <w:marRight w:val="0"/>
          <w:marTop w:val="0"/>
          <w:marBottom w:val="0"/>
          <w:divBdr>
            <w:top w:val="none" w:sz="0" w:space="0" w:color="auto"/>
            <w:left w:val="none" w:sz="0" w:space="0" w:color="auto"/>
            <w:bottom w:val="none" w:sz="0" w:space="0" w:color="auto"/>
            <w:right w:val="none" w:sz="0" w:space="0" w:color="auto"/>
          </w:divBdr>
        </w:div>
        <w:div w:id="1987126599">
          <w:marLeft w:val="0"/>
          <w:marRight w:val="0"/>
          <w:marTop w:val="0"/>
          <w:marBottom w:val="0"/>
          <w:divBdr>
            <w:top w:val="none" w:sz="0" w:space="0" w:color="auto"/>
            <w:left w:val="none" w:sz="0" w:space="0" w:color="auto"/>
            <w:bottom w:val="none" w:sz="0" w:space="0" w:color="auto"/>
            <w:right w:val="none" w:sz="0" w:space="0" w:color="auto"/>
          </w:divBdr>
        </w:div>
        <w:div w:id="878972725">
          <w:marLeft w:val="0"/>
          <w:marRight w:val="0"/>
          <w:marTop w:val="0"/>
          <w:marBottom w:val="0"/>
          <w:divBdr>
            <w:top w:val="none" w:sz="0" w:space="0" w:color="auto"/>
            <w:left w:val="none" w:sz="0" w:space="0" w:color="auto"/>
            <w:bottom w:val="none" w:sz="0" w:space="0" w:color="auto"/>
            <w:right w:val="none" w:sz="0" w:space="0" w:color="auto"/>
          </w:divBdr>
        </w:div>
        <w:div w:id="78835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wri.com.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asmanianwineshow.com.au/" TargetMode="External"/><Relationship Id="rId17" Type="http://schemas.openxmlformats.org/officeDocument/2006/relationships/hyperlink" Target="https://www.gourmettravellerwine.com/" TargetMode="External"/><Relationship Id="rId2" Type="http://schemas.openxmlformats.org/officeDocument/2006/relationships/styles" Target="styles.xml"/><Relationship Id="rId16" Type="http://schemas.openxmlformats.org/officeDocument/2006/relationships/hyperlink" Target="https://www.houseofarra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necompanion.com.au/" TargetMode="External"/><Relationship Id="rId5" Type="http://schemas.openxmlformats.org/officeDocument/2006/relationships/footnotes" Target="footnotes.xml"/><Relationship Id="rId15" Type="http://schemas.openxmlformats.org/officeDocument/2006/relationships/hyperlink" Target="https://winetasmania.com.au/" TargetMode="External"/><Relationship Id="rId10" Type="http://schemas.openxmlformats.org/officeDocument/2006/relationships/hyperlink" Target="https://www.wineaustrali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deca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2025-05-13T21:27:00Z</dcterms:created>
  <dcterms:modified xsi:type="dcterms:W3CDTF">2025-05-13T21:27:00Z</dcterms:modified>
</cp:coreProperties>
</file>