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BD19" w14:textId="77777777" w:rsidR="002E5C92" w:rsidRPr="00E3402E" w:rsidRDefault="002E5C92" w:rsidP="002E5C92">
      <w:pPr>
        <w:rPr>
          <w:rFonts w:asciiTheme="majorBidi" w:hAnsiTheme="majorBidi" w:cstheme="majorBidi"/>
          <w:b/>
          <w:bCs/>
          <w:sz w:val="40"/>
          <w:szCs w:val="40"/>
        </w:rPr>
      </w:pPr>
      <w:r w:rsidRPr="00E3402E">
        <w:rPr>
          <w:rFonts w:asciiTheme="majorBidi" w:hAnsiTheme="majorBidi" w:cstheme="majorBidi"/>
          <w:b/>
          <w:bCs/>
          <w:sz w:val="40"/>
          <w:szCs w:val="40"/>
        </w:rPr>
        <w:t>South Africa: The Old World Meets New World Winemaking</w:t>
      </w:r>
    </w:p>
    <w:p w14:paraId="0689D31D"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Region Profile</w:t>
      </w:r>
    </w:p>
    <w:p w14:paraId="7074B21C"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sz w:val="36"/>
          <w:szCs w:val="36"/>
        </w:rPr>
        <w:t>South Africa, predominantly located within the Western Cape, is uniquely positioned between Old World elegance and New World intensity. Situated around 34° latitude south, South Africa benefits from a Mediterranean climate, diverse soils, and significant oceanic influences, contributing to its distinctively terroir-driven wines. While its winemaking tradition dates back to the 1650s, recent quality-focused approaches have propelled South Africa into global recognition as a source of distinctive, high-value wines.</w:t>
      </w:r>
    </w:p>
    <w:p w14:paraId="47E1CD50"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sz w:val="36"/>
          <w:szCs w:val="36"/>
        </w:rPr>
        <w:t>Production Scale and Quality Reputation: South Africa ranks as the world's ninth-largest wine producer, notably significant within the Southern Hemisphere. Its wines are renowned internationally for their combination of affordability, diversity, and exceptional quality.</w:t>
      </w:r>
    </w:p>
    <w:p w14:paraId="3C8E5AB1"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Key Grape Varieties:</w:t>
      </w:r>
    </w:p>
    <w:p w14:paraId="3C3A0FF8"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Primary Red Varieties:</w:t>
      </w:r>
    </w:p>
    <w:p w14:paraId="1A836481" w14:textId="77777777" w:rsidR="00431D22" w:rsidRPr="00E3402E" w:rsidRDefault="00431D22" w:rsidP="00431D22">
      <w:pPr>
        <w:numPr>
          <w:ilvl w:val="0"/>
          <w:numId w:val="9"/>
        </w:numPr>
        <w:rPr>
          <w:rFonts w:asciiTheme="majorBidi" w:hAnsiTheme="majorBidi" w:cstheme="majorBidi"/>
          <w:sz w:val="36"/>
          <w:szCs w:val="36"/>
        </w:rPr>
      </w:pPr>
      <w:r w:rsidRPr="00E3402E">
        <w:rPr>
          <w:rFonts w:asciiTheme="majorBidi" w:hAnsiTheme="majorBidi" w:cstheme="majorBidi"/>
          <w:sz w:val="36"/>
          <w:szCs w:val="36"/>
        </w:rPr>
        <w:t>Pinotage: Indigenous cross between Pinot Noir and Cinsault, producing structured reds with smoky, spicy notes.</w:t>
      </w:r>
    </w:p>
    <w:p w14:paraId="3DB36050" w14:textId="77777777" w:rsidR="00431D22" w:rsidRPr="00E3402E" w:rsidRDefault="00431D22" w:rsidP="00431D22">
      <w:pPr>
        <w:numPr>
          <w:ilvl w:val="0"/>
          <w:numId w:val="9"/>
        </w:numPr>
        <w:rPr>
          <w:rFonts w:asciiTheme="majorBidi" w:hAnsiTheme="majorBidi" w:cstheme="majorBidi"/>
          <w:sz w:val="36"/>
          <w:szCs w:val="36"/>
        </w:rPr>
      </w:pPr>
      <w:r w:rsidRPr="00E3402E">
        <w:rPr>
          <w:rFonts w:asciiTheme="majorBidi" w:hAnsiTheme="majorBidi" w:cstheme="majorBidi"/>
          <w:sz w:val="36"/>
          <w:szCs w:val="36"/>
        </w:rPr>
        <w:t>Cabernet Sauvignon: Structured, robust wines typically showing dark fruits, cedar, and spice.</w:t>
      </w:r>
    </w:p>
    <w:p w14:paraId="2582A06D" w14:textId="77777777" w:rsidR="00431D22" w:rsidRPr="00E3402E" w:rsidRDefault="00431D22" w:rsidP="00431D22">
      <w:pPr>
        <w:numPr>
          <w:ilvl w:val="0"/>
          <w:numId w:val="9"/>
        </w:numPr>
        <w:rPr>
          <w:rFonts w:asciiTheme="majorBidi" w:hAnsiTheme="majorBidi" w:cstheme="majorBidi"/>
          <w:sz w:val="36"/>
          <w:szCs w:val="36"/>
        </w:rPr>
      </w:pPr>
      <w:r w:rsidRPr="00E3402E">
        <w:rPr>
          <w:rFonts w:asciiTheme="majorBidi" w:hAnsiTheme="majorBidi" w:cstheme="majorBidi"/>
          <w:sz w:val="36"/>
          <w:szCs w:val="36"/>
        </w:rPr>
        <w:t>Shiraz: Intense and peppery, often mineral-driven, especially from regions like Swartland.</w:t>
      </w:r>
    </w:p>
    <w:p w14:paraId="1F513464" w14:textId="77777777" w:rsidR="00431D22" w:rsidRPr="00E3402E" w:rsidRDefault="00431D22" w:rsidP="00431D22">
      <w:pPr>
        <w:numPr>
          <w:ilvl w:val="0"/>
          <w:numId w:val="9"/>
        </w:numPr>
        <w:rPr>
          <w:rFonts w:asciiTheme="majorBidi" w:hAnsiTheme="majorBidi" w:cstheme="majorBidi"/>
          <w:sz w:val="36"/>
          <w:szCs w:val="36"/>
        </w:rPr>
      </w:pPr>
      <w:r w:rsidRPr="00E3402E">
        <w:rPr>
          <w:rFonts w:asciiTheme="majorBidi" w:hAnsiTheme="majorBidi" w:cstheme="majorBidi"/>
          <w:sz w:val="36"/>
          <w:szCs w:val="36"/>
        </w:rPr>
        <w:t>Pinot Noir: Thriving in cooler regions such as Walker Bay, offering elegant and expressive styles.</w:t>
      </w:r>
    </w:p>
    <w:p w14:paraId="09539C0D"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Primary White Varieties:</w:t>
      </w:r>
    </w:p>
    <w:p w14:paraId="67964948" w14:textId="77777777" w:rsidR="00431D22" w:rsidRPr="00E3402E" w:rsidRDefault="00431D22" w:rsidP="00431D22">
      <w:pPr>
        <w:numPr>
          <w:ilvl w:val="0"/>
          <w:numId w:val="10"/>
        </w:numPr>
        <w:rPr>
          <w:rFonts w:asciiTheme="majorBidi" w:hAnsiTheme="majorBidi" w:cstheme="majorBidi"/>
          <w:sz w:val="36"/>
          <w:szCs w:val="36"/>
        </w:rPr>
      </w:pPr>
      <w:r w:rsidRPr="00E3402E">
        <w:rPr>
          <w:rFonts w:asciiTheme="majorBidi" w:hAnsiTheme="majorBidi" w:cstheme="majorBidi"/>
          <w:sz w:val="36"/>
          <w:szCs w:val="36"/>
        </w:rPr>
        <w:t>Chenin Blanc: Signature variety ranging from vibrant, zesty wines to richly textured barrel-aged examples.</w:t>
      </w:r>
    </w:p>
    <w:p w14:paraId="0B862F98" w14:textId="77777777" w:rsidR="00431D22" w:rsidRPr="00E3402E" w:rsidRDefault="00431D22" w:rsidP="00431D22">
      <w:pPr>
        <w:numPr>
          <w:ilvl w:val="0"/>
          <w:numId w:val="10"/>
        </w:numPr>
        <w:rPr>
          <w:rFonts w:asciiTheme="majorBidi" w:hAnsiTheme="majorBidi" w:cstheme="majorBidi"/>
          <w:sz w:val="36"/>
          <w:szCs w:val="36"/>
        </w:rPr>
      </w:pPr>
      <w:r w:rsidRPr="00E3402E">
        <w:rPr>
          <w:rFonts w:asciiTheme="majorBidi" w:hAnsiTheme="majorBidi" w:cstheme="majorBidi"/>
          <w:sz w:val="36"/>
          <w:szCs w:val="36"/>
        </w:rPr>
        <w:t>Sauvignon Blanc: Fresh, crisp, mineral-infused whites with vibrant citrus and herbal notes.</w:t>
      </w:r>
    </w:p>
    <w:p w14:paraId="35DC84EE" w14:textId="77777777" w:rsidR="00431D22" w:rsidRPr="00E3402E" w:rsidRDefault="00431D22" w:rsidP="00431D22">
      <w:pPr>
        <w:numPr>
          <w:ilvl w:val="0"/>
          <w:numId w:val="10"/>
        </w:numPr>
        <w:rPr>
          <w:rFonts w:asciiTheme="majorBidi" w:hAnsiTheme="majorBidi" w:cstheme="majorBidi"/>
          <w:sz w:val="36"/>
          <w:szCs w:val="36"/>
        </w:rPr>
      </w:pPr>
      <w:r w:rsidRPr="00E3402E">
        <w:rPr>
          <w:rFonts w:asciiTheme="majorBidi" w:hAnsiTheme="majorBidi" w:cstheme="majorBidi"/>
          <w:sz w:val="36"/>
          <w:szCs w:val="36"/>
        </w:rPr>
        <w:t>Chardonnay: Ranging from crisp and unoaked to creamy, barrel-aged styles with complexity.</w:t>
      </w:r>
    </w:p>
    <w:p w14:paraId="67E46677"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Indigenous Varieties:</w:t>
      </w:r>
    </w:p>
    <w:p w14:paraId="403BD26D" w14:textId="77777777" w:rsidR="00431D22" w:rsidRPr="00E3402E" w:rsidRDefault="00431D22" w:rsidP="00431D22">
      <w:pPr>
        <w:numPr>
          <w:ilvl w:val="0"/>
          <w:numId w:val="11"/>
        </w:numPr>
        <w:rPr>
          <w:rFonts w:asciiTheme="majorBidi" w:hAnsiTheme="majorBidi" w:cstheme="majorBidi"/>
          <w:sz w:val="36"/>
          <w:szCs w:val="36"/>
        </w:rPr>
      </w:pPr>
      <w:r w:rsidRPr="00E3402E">
        <w:rPr>
          <w:rFonts w:asciiTheme="majorBidi" w:hAnsiTheme="majorBidi" w:cstheme="majorBidi"/>
          <w:sz w:val="36"/>
          <w:szCs w:val="36"/>
        </w:rPr>
        <w:t>Pinotage: Unique to South Africa, serving as the country’s vinous ambassador.</w:t>
      </w:r>
    </w:p>
    <w:p w14:paraId="5204685A"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Major Wine Regions (Wine of Origin - WO):</w:t>
      </w:r>
    </w:p>
    <w:p w14:paraId="0E242CD9"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 xml:space="preserve">Stellenbosch </w:t>
      </w:r>
      <w:r w:rsidRPr="00E3402E">
        <w:rPr>
          <w:rFonts w:asciiTheme="majorBidi" w:hAnsiTheme="majorBidi" w:cstheme="majorBidi"/>
          <w:sz w:val="36"/>
          <w:szCs w:val="36"/>
        </w:rPr>
        <w:t>(WO) Renowned globally, Stellenbosch produces premium wines, notably structured Cabernet Sauvignon and Bordeaux-style blends, thanks to its diverse, granite-rich soils and moderate Mediterranean climate.</w:t>
      </w:r>
    </w:p>
    <w:p w14:paraId="1CD946BE"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sz w:val="36"/>
          <w:szCs w:val="36"/>
        </w:rPr>
        <w:t>S</w:t>
      </w:r>
      <w:r w:rsidRPr="00E3402E">
        <w:rPr>
          <w:rFonts w:asciiTheme="majorBidi" w:hAnsiTheme="majorBidi" w:cstheme="majorBidi"/>
          <w:b/>
          <w:bCs/>
          <w:sz w:val="36"/>
          <w:szCs w:val="36"/>
        </w:rPr>
        <w:t>wartland</w:t>
      </w:r>
      <w:r w:rsidRPr="00E3402E">
        <w:rPr>
          <w:rFonts w:asciiTheme="majorBidi" w:hAnsiTheme="majorBidi" w:cstheme="majorBidi"/>
          <w:sz w:val="36"/>
          <w:szCs w:val="36"/>
        </w:rPr>
        <w:t>: Known for old-vine, dry-farmed vineyards producing intense Chenin Blanc and Shiraz. The hot, dry climate and granite-rich soils drive the region’s quality revolution.</w:t>
      </w:r>
    </w:p>
    <w:p w14:paraId="567BAC8E"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Paarl:</w:t>
      </w:r>
      <w:r w:rsidRPr="00E3402E">
        <w:rPr>
          <w:rFonts w:asciiTheme="majorBidi" w:hAnsiTheme="majorBidi" w:cstheme="majorBidi"/>
          <w:sz w:val="36"/>
          <w:szCs w:val="36"/>
        </w:rPr>
        <w:t xml:space="preserve"> Produces robust Chenin Blanc and Bordeaux blends, characterized by deep clay and granite-based soils, benefiting from warm climates moderated slightly by altitude.</w:t>
      </w:r>
    </w:p>
    <w:p w14:paraId="6197B301"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Walker Bay:</w:t>
      </w:r>
      <w:r w:rsidRPr="00E3402E">
        <w:rPr>
          <w:rFonts w:asciiTheme="majorBidi" w:hAnsiTheme="majorBidi" w:cstheme="majorBidi"/>
          <w:sz w:val="36"/>
          <w:szCs w:val="36"/>
        </w:rPr>
        <w:t xml:space="preserve"> Specializing in delicate, Burgundian-style Pinot Noir and Chardonnay, this cool-climate region thrives on limestone and clay-rich soils.</w:t>
      </w:r>
    </w:p>
    <w:p w14:paraId="13BB0B07"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Constantia</w:t>
      </w:r>
      <w:r w:rsidRPr="00E3402E">
        <w:rPr>
          <w:rFonts w:asciiTheme="majorBidi" w:hAnsiTheme="majorBidi" w:cstheme="majorBidi"/>
          <w:sz w:val="36"/>
          <w:szCs w:val="36"/>
        </w:rPr>
        <w:t>: Historic coastal appellation famous for Sauvignon Blanc and the legendary sweet Vin de Constance, grown in decomposed granite soils influenced heavily by oceanic breezes.</w:t>
      </w:r>
    </w:p>
    <w:p w14:paraId="09A2C0F8" w14:textId="77777777" w:rsidR="00431D22" w:rsidRPr="00E3402E" w:rsidRDefault="00431D22" w:rsidP="00431D22">
      <w:pPr>
        <w:rPr>
          <w:rFonts w:asciiTheme="majorBidi" w:hAnsiTheme="majorBidi" w:cstheme="majorBidi"/>
          <w:b/>
          <w:bCs/>
          <w:sz w:val="36"/>
          <w:szCs w:val="36"/>
        </w:rPr>
      </w:pPr>
      <w:r w:rsidRPr="00E3402E">
        <w:rPr>
          <w:rFonts w:asciiTheme="majorBidi" w:hAnsiTheme="majorBidi" w:cstheme="majorBidi"/>
          <w:b/>
          <w:bCs/>
          <w:sz w:val="36"/>
          <w:szCs w:val="36"/>
        </w:rPr>
        <w:t>Significant Wine Styles and Requirements:</w:t>
      </w:r>
    </w:p>
    <w:p w14:paraId="43D1B120" w14:textId="77777777" w:rsidR="00431D22" w:rsidRPr="00E3402E" w:rsidRDefault="00431D22" w:rsidP="00431D22">
      <w:pPr>
        <w:numPr>
          <w:ilvl w:val="0"/>
          <w:numId w:val="12"/>
        </w:numPr>
        <w:rPr>
          <w:rFonts w:asciiTheme="majorBidi" w:hAnsiTheme="majorBidi" w:cstheme="majorBidi"/>
          <w:sz w:val="36"/>
          <w:szCs w:val="36"/>
        </w:rPr>
      </w:pPr>
      <w:r w:rsidRPr="00E3402E">
        <w:rPr>
          <w:rFonts w:asciiTheme="majorBidi" w:hAnsiTheme="majorBidi" w:cstheme="majorBidi"/>
          <w:sz w:val="36"/>
          <w:szCs w:val="36"/>
        </w:rPr>
        <w:t>Vin de Constance: Iconic sweet wine with centuries-old heritage; requires meticulous late harvesting, lengthy fermentation, and barrel aging, typically over 2-4 years.</w:t>
      </w:r>
    </w:p>
    <w:p w14:paraId="5E84F9F5" w14:textId="77777777" w:rsidR="00431D22" w:rsidRPr="00E3402E" w:rsidRDefault="00431D22" w:rsidP="00431D22">
      <w:pPr>
        <w:numPr>
          <w:ilvl w:val="0"/>
          <w:numId w:val="12"/>
        </w:numPr>
        <w:rPr>
          <w:rFonts w:asciiTheme="majorBidi" w:hAnsiTheme="majorBidi" w:cstheme="majorBidi"/>
          <w:sz w:val="36"/>
          <w:szCs w:val="36"/>
        </w:rPr>
      </w:pPr>
      <w:r w:rsidRPr="00E3402E">
        <w:rPr>
          <w:rFonts w:asciiTheme="majorBidi" w:hAnsiTheme="majorBidi" w:cstheme="majorBidi"/>
          <w:sz w:val="36"/>
          <w:szCs w:val="36"/>
        </w:rPr>
        <w:t>Stellenbosch Cabernet Sauvignon: Often oak-aged (12-24 months), structured and age-worthy.</w:t>
      </w:r>
    </w:p>
    <w:p w14:paraId="2E7603F9" w14:textId="77777777" w:rsidR="00431D22" w:rsidRPr="00E3402E" w:rsidRDefault="00431D22" w:rsidP="00431D22">
      <w:pPr>
        <w:numPr>
          <w:ilvl w:val="0"/>
          <w:numId w:val="12"/>
        </w:numPr>
        <w:rPr>
          <w:rFonts w:asciiTheme="majorBidi" w:hAnsiTheme="majorBidi" w:cstheme="majorBidi"/>
          <w:sz w:val="36"/>
          <w:szCs w:val="36"/>
        </w:rPr>
      </w:pPr>
      <w:r w:rsidRPr="00E3402E">
        <w:rPr>
          <w:rFonts w:asciiTheme="majorBidi" w:hAnsiTheme="majorBidi" w:cstheme="majorBidi"/>
          <w:sz w:val="36"/>
          <w:szCs w:val="36"/>
        </w:rPr>
        <w:t>Walker Bay Pinot Noir: Burgundian style, expressive, elegant wines benefiting from cool climates and limestone soils.</w:t>
      </w:r>
    </w:p>
    <w:p w14:paraId="371C4604" w14:textId="159130A0" w:rsidR="0029121E" w:rsidRPr="00E3402E" w:rsidRDefault="0029121E" w:rsidP="0029121E">
      <w:pPr>
        <w:pStyle w:val="NormalWeb"/>
        <w:numPr>
          <w:ilvl w:val="0"/>
          <w:numId w:val="12"/>
        </w:numPr>
        <w:rPr>
          <w:rFonts w:asciiTheme="majorBidi" w:hAnsiTheme="majorBidi" w:cstheme="majorBidi"/>
          <w:sz w:val="36"/>
          <w:szCs w:val="36"/>
        </w:rPr>
      </w:pPr>
      <w:r w:rsidRPr="00E3402E">
        <w:rPr>
          <w:rStyle w:val="Strong"/>
          <w:rFonts w:asciiTheme="majorBidi" w:eastAsiaTheme="majorEastAsia" w:hAnsiTheme="majorBidi" w:cstheme="majorBidi"/>
          <w:sz w:val="36"/>
          <w:szCs w:val="36"/>
        </w:rPr>
        <w:t>Rich, Spicy Pinotage:</w:t>
      </w:r>
      <w:r w:rsidRPr="00E3402E">
        <w:rPr>
          <w:rFonts w:asciiTheme="majorBidi" w:hAnsiTheme="majorBidi" w:cstheme="majorBidi"/>
          <w:sz w:val="36"/>
          <w:szCs w:val="36"/>
        </w:rPr>
        <w:t xml:space="preserve"> Bold, full-bodied wines with dark fruit and earthy undertones.</w:t>
      </w:r>
    </w:p>
    <w:p w14:paraId="00832461"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Cultural and Culinary Pairings:</w:t>
      </w:r>
      <w:r w:rsidRPr="00E3402E">
        <w:rPr>
          <w:rFonts w:asciiTheme="majorBidi" w:hAnsiTheme="majorBidi" w:cstheme="majorBidi"/>
          <w:sz w:val="36"/>
          <w:szCs w:val="36"/>
        </w:rPr>
        <w:t xml:space="preserve"> South African wines pair naturally with local cuisine, from Chenin Blanc with fresh seafood dishes and creamy cheeses to Pinotage complementing braais (traditional barbecues), venison, and hearty stews.</w:t>
      </w:r>
    </w:p>
    <w:p w14:paraId="42174434"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Leading Producers</w:t>
      </w:r>
      <w:r w:rsidRPr="00E3402E">
        <w:rPr>
          <w:rFonts w:asciiTheme="majorBidi" w:hAnsiTheme="majorBidi" w:cstheme="majorBidi"/>
          <w:sz w:val="36"/>
          <w:szCs w:val="36"/>
        </w:rPr>
        <w:t xml:space="preserve">: </w:t>
      </w:r>
      <w:proofErr w:type="spellStart"/>
      <w:r w:rsidRPr="00E3402E">
        <w:rPr>
          <w:rFonts w:asciiTheme="majorBidi" w:hAnsiTheme="majorBidi" w:cstheme="majorBidi"/>
          <w:sz w:val="36"/>
          <w:szCs w:val="36"/>
        </w:rPr>
        <w:t>Kanonkop</w:t>
      </w:r>
      <w:proofErr w:type="spellEnd"/>
      <w:r w:rsidRPr="00E3402E">
        <w:rPr>
          <w:rFonts w:asciiTheme="majorBidi" w:hAnsiTheme="majorBidi" w:cstheme="majorBidi"/>
          <w:sz w:val="36"/>
          <w:szCs w:val="36"/>
        </w:rPr>
        <w:t xml:space="preserve"> (Stellenbosch), </w:t>
      </w:r>
      <w:proofErr w:type="spellStart"/>
      <w:r w:rsidRPr="00E3402E">
        <w:rPr>
          <w:rFonts w:asciiTheme="majorBidi" w:hAnsiTheme="majorBidi" w:cstheme="majorBidi"/>
          <w:sz w:val="36"/>
          <w:szCs w:val="36"/>
        </w:rPr>
        <w:t>Mullineux</w:t>
      </w:r>
      <w:proofErr w:type="spellEnd"/>
      <w:r w:rsidRPr="00E3402E">
        <w:rPr>
          <w:rFonts w:asciiTheme="majorBidi" w:hAnsiTheme="majorBidi" w:cstheme="majorBidi"/>
          <w:sz w:val="36"/>
          <w:szCs w:val="36"/>
        </w:rPr>
        <w:t xml:space="preserve"> (Swartland), Hamilton Russell (Walker Bay), and Klein Constantia (Constantia) exemplify the quality and diversity of modern South African wine.</w:t>
      </w:r>
    </w:p>
    <w:p w14:paraId="11A043C1"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Takeaway for Sommeliers</w:t>
      </w:r>
      <w:r w:rsidRPr="00E3402E">
        <w:rPr>
          <w:rFonts w:asciiTheme="majorBidi" w:hAnsiTheme="majorBidi" w:cstheme="majorBidi"/>
          <w:sz w:val="36"/>
          <w:szCs w:val="36"/>
        </w:rPr>
        <w:t>: South Africa is an emerging powerhouse, blending deep history with innovation, providing wines that offer remarkable quality and distinctive character at exceptional value. Sommeliers should highlight its indigenous varietals, versatility, and terroir-driven approach to showcase South Africa’s uniqueness on wine lists and pairings.</w:t>
      </w:r>
    </w:p>
    <w:p w14:paraId="4C53FF48"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b/>
          <w:bCs/>
          <w:sz w:val="36"/>
          <w:szCs w:val="36"/>
        </w:rPr>
        <w:t>References:</w:t>
      </w:r>
      <w:r w:rsidRPr="00E3402E">
        <w:rPr>
          <w:rFonts w:asciiTheme="majorBidi" w:hAnsiTheme="majorBidi" w:cstheme="majorBidi"/>
          <w:sz w:val="36"/>
          <w:szCs w:val="36"/>
        </w:rPr>
        <w:t xml:space="preserve"> Robinson, J., &amp; Harding, J. (2020). </w:t>
      </w:r>
      <w:r w:rsidRPr="00E3402E">
        <w:rPr>
          <w:rFonts w:asciiTheme="majorBidi" w:hAnsiTheme="majorBidi" w:cstheme="majorBidi"/>
          <w:i/>
          <w:iCs/>
          <w:sz w:val="36"/>
          <w:szCs w:val="36"/>
        </w:rPr>
        <w:t>The Oxford Companion to Wine</w:t>
      </w:r>
      <w:r w:rsidRPr="00E3402E">
        <w:rPr>
          <w:rFonts w:asciiTheme="majorBidi" w:hAnsiTheme="majorBidi" w:cstheme="majorBidi"/>
          <w:sz w:val="36"/>
          <w:szCs w:val="36"/>
        </w:rPr>
        <w:t xml:space="preserve"> (5th ed.). Oxford University Press.</w:t>
      </w:r>
    </w:p>
    <w:p w14:paraId="4D754186"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sz w:val="36"/>
          <w:szCs w:val="36"/>
        </w:rPr>
        <w:t xml:space="preserve">Wines of South Africa. (2023). </w:t>
      </w:r>
      <w:r w:rsidRPr="00E3402E">
        <w:rPr>
          <w:rFonts w:asciiTheme="majorBidi" w:hAnsiTheme="majorBidi" w:cstheme="majorBidi"/>
          <w:i/>
          <w:iCs/>
          <w:sz w:val="36"/>
          <w:szCs w:val="36"/>
        </w:rPr>
        <w:t>Regional Report on South African Wine.</w:t>
      </w:r>
      <w:r w:rsidRPr="00E3402E">
        <w:rPr>
          <w:rFonts w:asciiTheme="majorBidi" w:hAnsiTheme="majorBidi" w:cstheme="majorBidi"/>
          <w:sz w:val="36"/>
          <w:szCs w:val="36"/>
        </w:rPr>
        <w:t xml:space="preserve"> Retrieved from </w:t>
      </w:r>
      <w:hyperlink r:id="rId5" w:history="1">
        <w:r w:rsidRPr="00E3402E">
          <w:rPr>
            <w:rStyle w:val="Hyperlink"/>
            <w:rFonts w:asciiTheme="majorBidi" w:hAnsiTheme="majorBidi" w:cstheme="majorBidi"/>
            <w:sz w:val="36"/>
            <w:szCs w:val="36"/>
          </w:rPr>
          <w:t>https://www.wosa.co.za</w:t>
        </w:r>
      </w:hyperlink>
    </w:p>
    <w:p w14:paraId="265F9FC0" w14:textId="77777777" w:rsidR="00431D22" w:rsidRPr="00E3402E" w:rsidRDefault="00431D22" w:rsidP="00431D22">
      <w:pPr>
        <w:rPr>
          <w:rFonts w:asciiTheme="majorBidi" w:hAnsiTheme="majorBidi" w:cstheme="majorBidi"/>
          <w:sz w:val="36"/>
          <w:szCs w:val="36"/>
        </w:rPr>
      </w:pPr>
      <w:r w:rsidRPr="00E3402E">
        <w:rPr>
          <w:rFonts w:asciiTheme="majorBidi" w:hAnsiTheme="majorBidi" w:cstheme="majorBidi"/>
          <w:sz w:val="36"/>
          <w:szCs w:val="36"/>
        </w:rPr>
        <w:t xml:space="preserve">Tapia, P. (2022). </w:t>
      </w:r>
      <w:r w:rsidRPr="00E3402E">
        <w:rPr>
          <w:rFonts w:asciiTheme="majorBidi" w:hAnsiTheme="majorBidi" w:cstheme="majorBidi"/>
          <w:i/>
          <w:iCs/>
          <w:sz w:val="36"/>
          <w:szCs w:val="36"/>
        </w:rPr>
        <w:t>The Essential Guide to South African Wines</w:t>
      </w:r>
      <w:r w:rsidRPr="00E3402E">
        <w:rPr>
          <w:rFonts w:asciiTheme="majorBidi" w:hAnsiTheme="majorBidi" w:cstheme="majorBidi"/>
          <w:sz w:val="36"/>
          <w:szCs w:val="36"/>
        </w:rPr>
        <w:t>. Penguin Random House.</w:t>
      </w:r>
    </w:p>
    <w:p w14:paraId="0A833277" w14:textId="77777777" w:rsidR="002E5C92" w:rsidRPr="00E3402E" w:rsidRDefault="002E5C92" w:rsidP="00431D22">
      <w:pPr>
        <w:rPr>
          <w:rFonts w:asciiTheme="majorBidi" w:hAnsiTheme="majorBidi" w:cstheme="majorBidi"/>
          <w:sz w:val="36"/>
          <w:szCs w:val="36"/>
        </w:rPr>
      </w:pPr>
    </w:p>
    <w:sectPr w:rsidR="002E5C92" w:rsidRPr="00E34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C4"/>
    <w:multiLevelType w:val="multilevel"/>
    <w:tmpl w:val="11D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66FD"/>
    <w:multiLevelType w:val="multilevel"/>
    <w:tmpl w:val="AF6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F5F4A"/>
    <w:multiLevelType w:val="multilevel"/>
    <w:tmpl w:val="DFE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11E26"/>
    <w:multiLevelType w:val="multilevel"/>
    <w:tmpl w:val="9F04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A41C6"/>
    <w:multiLevelType w:val="multilevel"/>
    <w:tmpl w:val="29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85C86"/>
    <w:multiLevelType w:val="multilevel"/>
    <w:tmpl w:val="B7C2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E7B5E"/>
    <w:multiLevelType w:val="multilevel"/>
    <w:tmpl w:val="39F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40F21"/>
    <w:multiLevelType w:val="multilevel"/>
    <w:tmpl w:val="34FE4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459D2"/>
    <w:multiLevelType w:val="multilevel"/>
    <w:tmpl w:val="3BC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B55D7"/>
    <w:multiLevelType w:val="multilevel"/>
    <w:tmpl w:val="E78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D6A62"/>
    <w:multiLevelType w:val="multilevel"/>
    <w:tmpl w:val="1B4E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6089"/>
    <w:multiLevelType w:val="multilevel"/>
    <w:tmpl w:val="7DA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799883">
    <w:abstractNumId w:val="0"/>
  </w:num>
  <w:num w:numId="2" w16cid:durableId="1020546315">
    <w:abstractNumId w:val="10"/>
  </w:num>
  <w:num w:numId="3" w16cid:durableId="2037383998">
    <w:abstractNumId w:val="11"/>
  </w:num>
  <w:num w:numId="4" w16cid:durableId="352801041">
    <w:abstractNumId w:val="1"/>
  </w:num>
  <w:num w:numId="5" w16cid:durableId="116222549">
    <w:abstractNumId w:val="8"/>
  </w:num>
  <w:num w:numId="6" w16cid:durableId="780416741">
    <w:abstractNumId w:val="5"/>
  </w:num>
  <w:num w:numId="7" w16cid:durableId="609364118">
    <w:abstractNumId w:val="7"/>
  </w:num>
  <w:num w:numId="8" w16cid:durableId="1354917284">
    <w:abstractNumId w:val="9"/>
  </w:num>
  <w:num w:numId="9" w16cid:durableId="2071734364">
    <w:abstractNumId w:val="6"/>
  </w:num>
  <w:num w:numId="10" w16cid:durableId="1529223112">
    <w:abstractNumId w:val="2"/>
  </w:num>
  <w:num w:numId="11" w16cid:durableId="579946370">
    <w:abstractNumId w:val="3"/>
  </w:num>
  <w:num w:numId="12" w16cid:durableId="131210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92"/>
    <w:rsid w:val="00003D90"/>
    <w:rsid w:val="0029121E"/>
    <w:rsid w:val="002E5C92"/>
    <w:rsid w:val="00431D22"/>
    <w:rsid w:val="00A90D54"/>
    <w:rsid w:val="00C06339"/>
    <w:rsid w:val="00E34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460F"/>
  <w15:chartTrackingRefBased/>
  <w15:docId w15:val="{FF0A4BE6-E6EF-4784-867A-26D8EA4C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5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5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5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5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92"/>
    <w:rPr>
      <w:rFonts w:eastAsiaTheme="majorEastAsia" w:cstheme="majorBidi"/>
      <w:color w:val="272727" w:themeColor="text1" w:themeTint="D8"/>
    </w:rPr>
  </w:style>
  <w:style w:type="paragraph" w:styleId="Title">
    <w:name w:val="Title"/>
    <w:basedOn w:val="Normal"/>
    <w:next w:val="Normal"/>
    <w:link w:val="TitleChar"/>
    <w:uiPriority w:val="10"/>
    <w:qFormat/>
    <w:rsid w:val="002E5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92"/>
    <w:pPr>
      <w:spacing w:before="160"/>
      <w:jc w:val="center"/>
    </w:pPr>
    <w:rPr>
      <w:i/>
      <w:iCs/>
      <w:color w:val="404040" w:themeColor="text1" w:themeTint="BF"/>
    </w:rPr>
  </w:style>
  <w:style w:type="character" w:customStyle="1" w:styleId="QuoteChar">
    <w:name w:val="Quote Char"/>
    <w:basedOn w:val="DefaultParagraphFont"/>
    <w:link w:val="Quote"/>
    <w:uiPriority w:val="29"/>
    <w:rsid w:val="002E5C92"/>
    <w:rPr>
      <w:i/>
      <w:iCs/>
      <w:color w:val="404040" w:themeColor="text1" w:themeTint="BF"/>
    </w:rPr>
  </w:style>
  <w:style w:type="paragraph" w:styleId="ListParagraph">
    <w:name w:val="List Paragraph"/>
    <w:basedOn w:val="Normal"/>
    <w:uiPriority w:val="34"/>
    <w:qFormat/>
    <w:rsid w:val="002E5C92"/>
    <w:pPr>
      <w:ind w:left="720"/>
      <w:contextualSpacing/>
    </w:pPr>
  </w:style>
  <w:style w:type="character" w:styleId="IntenseEmphasis">
    <w:name w:val="Intense Emphasis"/>
    <w:basedOn w:val="DefaultParagraphFont"/>
    <w:uiPriority w:val="21"/>
    <w:qFormat/>
    <w:rsid w:val="002E5C92"/>
    <w:rPr>
      <w:i/>
      <w:iCs/>
      <w:color w:val="2F5496" w:themeColor="accent1" w:themeShade="BF"/>
    </w:rPr>
  </w:style>
  <w:style w:type="paragraph" w:styleId="IntenseQuote">
    <w:name w:val="Intense Quote"/>
    <w:basedOn w:val="Normal"/>
    <w:next w:val="Normal"/>
    <w:link w:val="IntenseQuoteChar"/>
    <w:uiPriority w:val="30"/>
    <w:qFormat/>
    <w:rsid w:val="002E5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5C92"/>
    <w:rPr>
      <w:i/>
      <w:iCs/>
      <w:color w:val="2F5496" w:themeColor="accent1" w:themeShade="BF"/>
    </w:rPr>
  </w:style>
  <w:style w:type="character" w:styleId="IntenseReference">
    <w:name w:val="Intense Reference"/>
    <w:basedOn w:val="DefaultParagraphFont"/>
    <w:uiPriority w:val="32"/>
    <w:qFormat/>
    <w:rsid w:val="002E5C92"/>
    <w:rPr>
      <w:b/>
      <w:bCs/>
      <w:smallCaps/>
      <w:color w:val="2F5496" w:themeColor="accent1" w:themeShade="BF"/>
      <w:spacing w:val="5"/>
    </w:rPr>
  </w:style>
  <w:style w:type="character" w:styleId="Hyperlink">
    <w:name w:val="Hyperlink"/>
    <w:basedOn w:val="DefaultParagraphFont"/>
    <w:uiPriority w:val="99"/>
    <w:unhideWhenUsed/>
    <w:rsid w:val="002E5C92"/>
    <w:rPr>
      <w:color w:val="0563C1" w:themeColor="hyperlink"/>
      <w:u w:val="single"/>
    </w:rPr>
  </w:style>
  <w:style w:type="character" w:styleId="UnresolvedMention">
    <w:name w:val="Unresolved Mention"/>
    <w:basedOn w:val="DefaultParagraphFont"/>
    <w:uiPriority w:val="99"/>
    <w:semiHidden/>
    <w:unhideWhenUsed/>
    <w:rsid w:val="002E5C92"/>
    <w:rPr>
      <w:color w:val="605E5C"/>
      <w:shd w:val="clear" w:color="auto" w:fill="E1DFDD"/>
    </w:rPr>
  </w:style>
  <w:style w:type="paragraph" w:styleId="NormalWeb">
    <w:name w:val="Normal (Web)"/>
    <w:basedOn w:val="Normal"/>
    <w:uiPriority w:val="99"/>
    <w:unhideWhenUsed/>
    <w:rsid w:val="002912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12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57543">
      <w:bodyDiv w:val="1"/>
      <w:marLeft w:val="0"/>
      <w:marRight w:val="0"/>
      <w:marTop w:val="0"/>
      <w:marBottom w:val="0"/>
      <w:divBdr>
        <w:top w:val="none" w:sz="0" w:space="0" w:color="auto"/>
        <w:left w:val="none" w:sz="0" w:space="0" w:color="auto"/>
        <w:bottom w:val="none" w:sz="0" w:space="0" w:color="auto"/>
        <w:right w:val="none" w:sz="0" w:space="0" w:color="auto"/>
      </w:divBdr>
    </w:div>
    <w:div w:id="885793159">
      <w:bodyDiv w:val="1"/>
      <w:marLeft w:val="0"/>
      <w:marRight w:val="0"/>
      <w:marTop w:val="0"/>
      <w:marBottom w:val="0"/>
      <w:divBdr>
        <w:top w:val="none" w:sz="0" w:space="0" w:color="auto"/>
        <w:left w:val="none" w:sz="0" w:space="0" w:color="auto"/>
        <w:bottom w:val="none" w:sz="0" w:space="0" w:color="auto"/>
        <w:right w:val="none" w:sz="0" w:space="0" w:color="auto"/>
      </w:divBdr>
    </w:div>
    <w:div w:id="1442841280">
      <w:bodyDiv w:val="1"/>
      <w:marLeft w:val="0"/>
      <w:marRight w:val="0"/>
      <w:marTop w:val="0"/>
      <w:marBottom w:val="0"/>
      <w:divBdr>
        <w:top w:val="none" w:sz="0" w:space="0" w:color="auto"/>
        <w:left w:val="none" w:sz="0" w:space="0" w:color="auto"/>
        <w:bottom w:val="none" w:sz="0" w:space="0" w:color="auto"/>
        <w:right w:val="none" w:sz="0" w:space="0" w:color="auto"/>
      </w:divBdr>
    </w:div>
    <w:div w:id="1500853588">
      <w:bodyDiv w:val="1"/>
      <w:marLeft w:val="0"/>
      <w:marRight w:val="0"/>
      <w:marTop w:val="0"/>
      <w:marBottom w:val="0"/>
      <w:divBdr>
        <w:top w:val="none" w:sz="0" w:space="0" w:color="auto"/>
        <w:left w:val="none" w:sz="0" w:space="0" w:color="auto"/>
        <w:bottom w:val="none" w:sz="0" w:space="0" w:color="auto"/>
        <w:right w:val="none" w:sz="0" w:space="0" w:color="auto"/>
      </w:divBdr>
    </w:div>
    <w:div w:id="19018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osa.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2025-03-06T03:30:00Z</dcterms:created>
  <dcterms:modified xsi:type="dcterms:W3CDTF">2026-01-10T03:25:00Z</dcterms:modified>
</cp:coreProperties>
</file>