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6384"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b/>
          <w:bCs/>
          <w:sz w:val="36"/>
          <w:szCs w:val="36"/>
        </w:rPr>
        <w:t>Rhône: The Diverse Powerhouse of French Winemaking</w:t>
      </w:r>
    </w:p>
    <w:p w14:paraId="3CA9BF4E"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Overview</w:t>
      </w:r>
    </w:p>
    <w:p w14:paraId="571CF305"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The Rhône Valley, stretching from Lyon to the Mediterranean, is one of France’s most dynamic wine regions. Divided into </w:t>
      </w:r>
      <w:r w:rsidRPr="00327022">
        <w:rPr>
          <w:rFonts w:ascii="Times New Roman" w:hAnsi="Times New Roman" w:cs="Times New Roman"/>
          <w:b/>
          <w:bCs/>
          <w:sz w:val="36"/>
          <w:szCs w:val="36"/>
        </w:rPr>
        <w:t>Northern Rhône</w:t>
      </w:r>
      <w:r w:rsidRPr="00327022">
        <w:rPr>
          <w:rFonts w:ascii="Times New Roman" w:hAnsi="Times New Roman" w:cs="Times New Roman"/>
          <w:sz w:val="36"/>
          <w:szCs w:val="36"/>
        </w:rPr>
        <w:t xml:space="preserve"> and </w:t>
      </w:r>
      <w:r w:rsidRPr="00327022">
        <w:rPr>
          <w:rFonts w:ascii="Times New Roman" w:hAnsi="Times New Roman" w:cs="Times New Roman"/>
          <w:b/>
          <w:bCs/>
          <w:sz w:val="36"/>
          <w:szCs w:val="36"/>
        </w:rPr>
        <w:t>Southern Rhône</w:t>
      </w:r>
      <w:r w:rsidRPr="00327022">
        <w:rPr>
          <w:rFonts w:ascii="Times New Roman" w:hAnsi="Times New Roman" w:cs="Times New Roman"/>
          <w:sz w:val="36"/>
          <w:szCs w:val="36"/>
        </w:rPr>
        <w:t>, the region is celebrated for its powerful Syrah-based reds, elegant Viogniers, and complex Grenache-led blends. With a history dating back over 2,000 years, Rhône wines exhibit exceptional diversity, making them an essential area of study for sommeliers.</w:t>
      </w:r>
    </w:p>
    <w:p w14:paraId="0CA3DEEF"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Historical Background</w:t>
      </w:r>
    </w:p>
    <w:p w14:paraId="05AC41AE"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Winemaking in the Rhône Valley dates back to the </w:t>
      </w:r>
      <w:r w:rsidRPr="00327022">
        <w:rPr>
          <w:rFonts w:ascii="Times New Roman" w:hAnsi="Times New Roman" w:cs="Times New Roman"/>
          <w:b/>
          <w:bCs/>
          <w:sz w:val="36"/>
          <w:szCs w:val="36"/>
        </w:rPr>
        <w:t>Greeks and Romans</w:t>
      </w:r>
      <w:r w:rsidRPr="00327022">
        <w:rPr>
          <w:rFonts w:ascii="Times New Roman" w:hAnsi="Times New Roman" w:cs="Times New Roman"/>
          <w:sz w:val="36"/>
          <w:szCs w:val="36"/>
        </w:rPr>
        <w:t xml:space="preserve">, who recognized the region’s potential due to its diverse terroir and favorable climate. The Romans planted vineyards along the Rhône River, developing trade routes that made Rhône wines some of the most sought-after in ancient Europe. During the Middle Ages, the </w:t>
      </w:r>
      <w:r w:rsidRPr="00327022">
        <w:rPr>
          <w:rFonts w:ascii="Times New Roman" w:hAnsi="Times New Roman" w:cs="Times New Roman"/>
          <w:b/>
          <w:bCs/>
          <w:sz w:val="36"/>
          <w:szCs w:val="36"/>
        </w:rPr>
        <w:t>Papacy’s move to Avignon</w:t>
      </w:r>
      <w:r w:rsidRPr="00327022">
        <w:rPr>
          <w:rFonts w:ascii="Times New Roman" w:hAnsi="Times New Roman" w:cs="Times New Roman"/>
          <w:sz w:val="36"/>
          <w:szCs w:val="36"/>
        </w:rPr>
        <w:t xml:space="preserve"> bolstered the region’s prestige, leading to the rise of </w:t>
      </w:r>
      <w:r w:rsidRPr="00327022">
        <w:rPr>
          <w:rFonts w:ascii="Times New Roman" w:hAnsi="Times New Roman" w:cs="Times New Roman"/>
          <w:b/>
          <w:bCs/>
          <w:sz w:val="36"/>
          <w:szCs w:val="36"/>
        </w:rPr>
        <w:t>Châteauneuf-du-Pape</w:t>
      </w:r>
      <w:r w:rsidRPr="00327022">
        <w:rPr>
          <w:rFonts w:ascii="Times New Roman" w:hAnsi="Times New Roman" w:cs="Times New Roman"/>
          <w:sz w:val="36"/>
          <w:szCs w:val="36"/>
        </w:rPr>
        <w:t xml:space="preserve"> as a world-renowned appellation. Today, the Rhône Valley is known for both its </w:t>
      </w:r>
      <w:r w:rsidRPr="00327022">
        <w:rPr>
          <w:rFonts w:ascii="Times New Roman" w:hAnsi="Times New Roman" w:cs="Times New Roman"/>
          <w:b/>
          <w:bCs/>
          <w:sz w:val="36"/>
          <w:szCs w:val="36"/>
        </w:rPr>
        <w:t>traditional and modern winemaking approaches</w:t>
      </w:r>
      <w:r w:rsidRPr="00327022">
        <w:rPr>
          <w:rFonts w:ascii="Times New Roman" w:hAnsi="Times New Roman" w:cs="Times New Roman"/>
          <w:sz w:val="36"/>
          <w:szCs w:val="36"/>
        </w:rPr>
        <w:t>, producing wines of remarkable quality and typicity.</w:t>
      </w:r>
    </w:p>
    <w:p w14:paraId="3C60754C"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Classification System</w:t>
      </w:r>
    </w:p>
    <w:p w14:paraId="5B80AA37"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Rhône wines adhere to France’s standard classification system:</w:t>
      </w:r>
    </w:p>
    <w:p w14:paraId="720EF65D" w14:textId="77777777" w:rsidR="00327022" w:rsidRPr="00327022" w:rsidRDefault="00327022" w:rsidP="00327022">
      <w:pPr>
        <w:numPr>
          <w:ilvl w:val="0"/>
          <w:numId w:val="7"/>
        </w:numPr>
        <w:rPr>
          <w:rFonts w:ascii="Times New Roman" w:hAnsi="Times New Roman" w:cs="Times New Roman"/>
          <w:sz w:val="36"/>
          <w:szCs w:val="36"/>
        </w:rPr>
      </w:pPr>
      <w:r w:rsidRPr="00327022">
        <w:rPr>
          <w:rFonts w:ascii="Times New Roman" w:hAnsi="Times New Roman" w:cs="Times New Roman"/>
          <w:b/>
          <w:bCs/>
          <w:sz w:val="36"/>
          <w:szCs w:val="36"/>
        </w:rPr>
        <w:lastRenderedPageBreak/>
        <w:t xml:space="preserve">Appellation </w:t>
      </w:r>
      <w:proofErr w:type="spellStart"/>
      <w:r w:rsidRPr="00327022">
        <w:rPr>
          <w:rFonts w:ascii="Times New Roman" w:hAnsi="Times New Roman" w:cs="Times New Roman"/>
          <w:b/>
          <w:bCs/>
          <w:sz w:val="36"/>
          <w:szCs w:val="36"/>
        </w:rPr>
        <w:t>d’Origine</w:t>
      </w:r>
      <w:proofErr w:type="spellEnd"/>
      <w:r w:rsidRPr="00327022">
        <w:rPr>
          <w:rFonts w:ascii="Times New Roman" w:hAnsi="Times New Roman" w:cs="Times New Roman"/>
          <w:b/>
          <w:bCs/>
          <w:sz w:val="36"/>
          <w:szCs w:val="36"/>
        </w:rPr>
        <w:t xml:space="preserve"> Contrôlée (AOC/AOP)</w:t>
      </w:r>
      <w:r w:rsidRPr="00327022">
        <w:rPr>
          <w:rFonts w:ascii="Times New Roman" w:hAnsi="Times New Roman" w:cs="Times New Roman"/>
          <w:sz w:val="36"/>
          <w:szCs w:val="36"/>
        </w:rPr>
        <w:t xml:space="preserve"> – The highest designation, ensuring strict geographical and production criteria.</w:t>
      </w:r>
    </w:p>
    <w:p w14:paraId="430E4DB0" w14:textId="77777777" w:rsidR="00327022" w:rsidRPr="00327022" w:rsidRDefault="00327022" w:rsidP="00327022">
      <w:pPr>
        <w:numPr>
          <w:ilvl w:val="0"/>
          <w:numId w:val="7"/>
        </w:numPr>
        <w:rPr>
          <w:rFonts w:ascii="Times New Roman" w:hAnsi="Times New Roman" w:cs="Times New Roman"/>
          <w:sz w:val="36"/>
          <w:szCs w:val="36"/>
        </w:rPr>
      </w:pPr>
      <w:r w:rsidRPr="00327022">
        <w:rPr>
          <w:rFonts w:ascii="Times New Roman" w:hAnsi="Times New Roman" w:cs="Times New Roman"/>
          <w:b/>
          <w:bCs/>
          <w:sz w:val="36"/>
          <w:szCs w:val="36"/>
        </w:rPr>
        <w:t>Vin de Pays (IGP)</w:t>
      </w:r>
      <w:r w:rsidRPr="00327022">
        <w:rPr>
          <w:rFonts w:ascii="Times New Roman" w:hAnsi="Times New Roman" w:cs="Times New Roman"/>
          <w:sz w:val="36"/>
          <w:szCs w:val="36"/>
        </w:rPr>
        <w:t xml:space="preserve"> – A more flexible category allowing for innovative and international styles.</w:t>
      </w:r>
    </w:p>
    <w:p w14:paraId="16C7352D" w14:textId="77777777" w:rsidR="00327022" w:rsidRPr="00327022" w:rsidRDefault="00327022" w:rsidP="00327022">
      <w:pPr>
        <w:numPr>
          <w:ilvl w:val="0"/>
          <w:numId w:val="7"/>
        </w:numPr>
        <w:rPr>
          <w:rFonts w:ascii="Times New Roman" w:hAnsi="Times New Roman" w:cs="Times New Roman"/>
          <w:sz w:val="36"/>
          <w:szCs w:val="36"/>
        </w:rPr>
      </w:pPr>
      <w:r w:rsidRPr="00327022">
        <w:rPr>
          <w:rFonts w:ascii="Times New Roman" w:hAnsi="Times New Roman" w:cs="Times New Roman"/>
          <w:b/>
          <w:bCs/>
          <w:sz w:val="36"/>
          <w:szCs w:val="36"/>
        </w:rPr>
        <w:t>Vin de France</w:t>
      </w:r>
      <w:r w:rsidRPr="00327022">
        <w:rPr>
          <w:rFonts w:ascii="Times New Roman" w:hAnsi="Times New Roman" w:cs="Times New Roman"/>
          <w:sz w:val="36"/>
          <w:szCs w:val="36"/>
        </w:rPr>
        <w:t xml:space="preserve"> – The broadest designation, offering few restrictions but less regional identity.</w:t>
      </w:r>
    </w:p>
    <w:p w14:paraId="734FC9D3"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Key classifications in the Rhône Valley include:</w:t>
      </w:r>
    </w:p>
    <w:p w14:paraId="56FE929F" w14:textId="77777777" w:rsidR="00327022" w:rsidRPr="00327022" w:rsidRDefault="00327022" w:rsidP="00327022">
      <w:pPr>
        <w:numPr>
          <w:ilvl w:val="0"/>
          <w:numId w:val="8"/>
        </w:numPr>
        <w:rPr>
          <w:rFonts w:ascii="Times New Roman" w:hAnsi="Times New Roman" w:cs="Times New Roman"/>
          <w:sz w:val="36"/>
          <w:szCs w:val="36"/>
        </w:rPr>
      </w:pPr>
      <w:r w:rsidRPr="00327022">
        <w:rPr>
          <w:rFonts w:ascii="Times New Roman" w:hAnsi="Times New Roman" w:cs="Times New Roman"/>
          <w:b/>
          <w:bCs/>
          <w:sz w:val="36"/>
          <w:szCs w:val="36"/>
        </w:rPr>
        <w:t>Côte-</w:t>
      </w:r>
      <w:proofErr w:type="spellStart"/>
      <w:r w:rsidRPr="00327022">
        <w:rPr>
          <w:rFonts w:ascii="Times New Roman" w:hAnsi="Times New Roman" w:cs="Times New Roman"/>
          <w:b/>
          <w:bCs/>
          <w:sz w:val="36"/>
          <w:szCs w:val="36"/>
        </w:rPr>
        <w:t>Rôtie</w:t>
      </w:r>
      <w:proofErr w:type="spellEnd"/>
      <w:r w:rsidRPr="00327022">
        <w:rPr>
          <w:rFonts w:ascii="Times New Roman" w:hAnsi="Times New Roman" w:cs="Times New Roman"/>
          <w:b/>
          <w:bCs/>
          <w:sz w:val="36"/>
          <w:szCs w:val="36"/>
        </w:rPr>
        <w:t xml:space="preserve"> AOC</w:t>
      </w:r>
      <w:r w:rsidRPr="00327022">
        <w:rPr>
          <w:rFonts w:ascii="Times New Roman" w:hAnsi="Times New Roman" w:cs="Times New Roman"/>
          <w:sz w:val="36"/>
          <w:szCs w:val="36"/>
        </w:rPr>
        <w:t xml:space="preserve"> – The northernmost Rhône appellation, producing </w:t>
      </w:r>
      <w:r w:rsidRPr="00327022">
        <w:rPr>
          <w:rFonts w:ascii="Times New Roman" w:hAnsi="Times New Roman" w:cs="Times New Roman"/>
          <w:b/>
          <w:bCs/>
          <w:sz w:val="36"/>
          <w:szCs w:val="36"/>
        </w:rPr>
        <w:t>Syrah-based reds</w:t>
      </w:r>
      <w:r w:rsidRPr="00327022">
        <w:rPr>
          <w:rFonts w:ascii="Times New Roman" w:hAnsi="Times New Roman" w:cs="Times New Roman"/>
          <w:sz w:val="36"/>
          <w:szCs w:val="36"/>
        </w:rPr>
        <w:t xml:space="preserve"> with floral and spice-driven complexity.</w:t>
      </w:r>
    </w:p>
    <w:p w14:paraId="7F4BB80C" w14:textId="77777777" w:rsidR="00327022" w:rsidRPr="00327022" w:rsidRDefault="00327022" w:rsidP="00327022">
      <w:pPr>
        <w:numPr>
          <w:ilvl w:val="0"/>
          <w:numId w:val="8"/>
        </w:numPr>
        <w:rPr>
          <w:rFonts w:ascii="Times New Roman" w:hAnsi="Times New Roman" w:cs="Times New Roman"/>
          <w:sz w:val="36"/>
          <w:szCs w:val="36"/>
        </w:rPr>
      </w:pPr>
      <w:r w:rsidRPr="00327022">
        <w:rPr>
          <w:rFonts w:ascii="Times New Roman" w:hAnsi="Times New Roman" w:cs="Times New Roman"/>
          <w:b/>
          <w:bCs/>
          <w:sz w:val="36"/>
          <w:szCs w:val="36"/>
        </w:rPr>
        <w:t>Hermitage AOC</w:t>
      </w:r>
      <w:r w:rsidRPr="00327022">
        <w:rPr>
          <w:rFonts w:ascii="Times New Roman" w:hAnsi="Times New Roman" w:cs="Times New Roman"/>
          <w:sz w:val="36"/>
          <w:szCs w:val="36"/>
        </w:rPr>
        <w:t xml:space="preserve"> – A benchmark for </w:t>
      </w:r>
      <w:r w:rsidRPr="00327022">
        <w:rPr>
          <w:rFonts w:ascii="Times New Roman" w:hAnsi="Times New Roman" w:cs="Times New Roman"/>
          <w:b/>
          <w:bCs/>
          <w:sz w:val="36"/>
          <w:szCs w:val="36"/>
        </w:rPr>
        <w:t>powerful, age-worthy Syrah</w:t>
      </w:r>
      <w:r w:rsidRPr="00327022">
        <w:rPr>
          <w:rFonts w:ascii="Times New Roman" w:hAnsi="Times New Roman" w:cs="Times New Roman"/>
          <w:sz w:val="36"/>
          <w:szCs w:val="36"/>
        </w:rPr>
        <w:t>, often blended with a small percentage of white varieties.</w:t>
      </w:r>
    </w:p>
    <w:p w14:paraId="16E09FD8" w14:textId="77777777" w:rsidR="00327022" w:rsidRPr="00327022" w:rsidRDefault="00327022" w:rsidP="00327022">
      <w:pPr>
        <w:numPr>
          <w:ilvl w:val="0"/>
          <w:numId w:val="8"/>
        </w:numPr>
        <w:rPr>
          <w:rFonts w:ascii="Times New Roman" w:hAnsi="Times New Roman" w:cs="Times New Roman"/>
          <w:sz w:val="36"/>
          <w:szCs w:val="36"/>
        </w:rPr>
      </w:pPr>
      <w:r w:rsidRPr="00327022">
        <w:rPr>
          <w:rFonts w:ascii="Times New Roman" w:hAnsi="Times New Roman" w:cs="Times New Roman"/>
          <w:b/>
          <w:bCs/>
          <w:sz w:val="36"/>
          <w:szCs w:val="36"/>
        </w:rPr>
        <w:t>Châteauneuf-du-Pape AOC</w:t>
      </w:r>
      <w:r w:rsidRPr="00327022">
        <w:rPr>
          <w:rFonts w:ascii="Times New Roman" w:hAnsi="Times New Roman" w:cs="Times New Roman"/>
          <w:sz w:val="36"/>
          <w:szCs w:val="36"/>
        </w:rPr>
        <w:t xml:space="preserve"> – The flagship of Southern Rhône, featuring complex </w:t>
      </w:r>
      <w:r w:rsidRPr="00327022">
        <w:rPr>
          <w:rFonts w:ascii="Times New Roman" w:hAnsi="Times New Roman" w:cs="Times New Roman"/>
          <w:b/>
          <w:bCs/>
          <w:sz w:val="36"/>
          <w:szCs w:val="36"/>
        </w:rPr>
        <w:t>Grenache-dominant blends</w:t>
      </w:r>
      <w:r w:rsidRPr="00327022">
        <w:rPr>
          <w:rFonts w:ascii="Times New Roman" w:hAnsi="Times New Roman" w:cs="Times New Roman"/>
          <w:sz w:val="36"/>
          <w:szCs w:val="36"/>
        </w:rPr>
        <w:t>.</w:t>
      </w:r>
    </w:p>
    <w:p w14:paraId="4260E222" w14:textId="77777777" w:rsidR="00327022" w:rsidRPr="00327022" w:rsidRDefault="00327022" w:rsidP="00327022">
      <w:pPr>
        <w:numPr>
          <w:ilvl w:val="0"/>
          <w:numId w:val="8"/>
        </w:numPr>
        <w:rPr>
          <w:rFonts w:ascii="Times New Roman" w:hAnsi="Times New Roman" w:cs="Times New Roman"/>
          <w:sz w:val="36"/>
          <w:szCs w:val="36"/>
        </w:rPr>
      </w:pPr>
      <w:proofErr w:type="spellStart"/>
      <w:r w:rsidRPr="00327022">
        <w:rPr>
          <w:rFonts w:ascii="Times New Roman" w:hAnsi="Times New Roman" w:cs="Times New Roman"/>
          <w:b/>
          <w:bCs/>
          <w:sz w:val="36"/>
          <w:szCs w:val="36"/>
        </w:rPr>
        <w:t>Gigondas</w:t>
      </w:r>
      <w:proofErr w:type="spellEnd"/>
      <w:r w:rsidRPr="00327022">
        <w:rPr>
          <w:rFonts w:ascii="Times New Roman" w:hAnsi="Times New Roman" w:cs="Times New Roman"/>
          <w:b/>
          <w:bCs/>
          <w:sz w:val="36"/>
          <w:szCs w:val="36"/>
        </w:rPr>
        <w:t xml:space="preserve"> AOC</w:t>
      </w:r>
      <w:r w:rsidRPr="00327022">
        <w:rPr>
          <w:rFonts w:ascii="Times New Roman" w:hAnsi="Times New Roman" w:cs="Times New Roman"/>
          <w:sz w:val="36"/>
          <w:szCs w:val="36"/>
        </w:rPr>
        <w:t xml:space="preserve"> – A robust </w:t>
      </w:r>
      <w:r w:rsidRPr="00327022">
        <w:rPr>
          <w:rFonts w:ascii="Times New Roman" w:hAnsi="Times New Roman" w:cs="Times New Roman"/>
          <w:b/>
          <w:bCs/>
          <w:sz w:val="36"/>
          <w:szCs w:val="36"/>
        </w:rPr>
        <w:t>Southern Rhône red</w:t>
      </w:r>
      <w:r w:rsidRPr="00327022">
        <w:rPr>
          <w:rFonts w:ascii="Times New Roman" w:hAnsi="Times New Roman" w:cs="Times New Roman"/>
          <w:sz w:val="36"/>
          <w:szCs w:val="36"/>
        </w:rPr>
        <w:t xml:space="preserve"> that rivals Châteauneuf-du-Pape in structure and longevity.</w:t>
      </w:r>
    </w:p>
    <w:p w14:paraId="19D002D4" w14:textId="77777777" w:rsidR="00327022" w:rsidRPr="00327022" w:rsidRDefault="00327022" w:rsidP="00327022">
      <w:pPr>
        <w:numPr>
          <w:ilvl w:val="0"/>
          <w:numId w:val="8"/>
        </w:numPr>
        <w:rPr>
          <w:rFonts w:ascii="Times New Roman" w:hAnsi="Times New Roman" w:cs="Times New Roman"/>
          <w:sz w:val="36"/>
          <w:szCs w:val="36"/>
        </w:rPr>
      </w:pPr>
      <w:proofErr w:type="spellStart"/>
      <w:r w:rsidRPr="00327022">
        <w:rPr>
          <w:rFonts w:ascii="Times New Roman" w:hAnsi="Times New Roman" w:cs="Times New Roman"/>
          <w:b/>
          <w:bCs/>
          <w:sz w:val="36"/>
          <w:szCs w:val="36"/>
        </w:rPr>
        <w:t>Condrieu</w:t>
      </w:r>
      <w:proofErr w:type="spellEnd"/>
      <w:r w:rsidRPr="00327022">
        <w:rPr>
          <w:rFonts w:ascii="Times New Roman" w:hAnsi="Times New Roman" w:cs="Times New Roman"/>
          <w:b/>
          <w:bCs/>
          <w:sz w:val="36"/>
          <w:szCs w:val="36"/>
        </w:rPr>
        <w:t xml:space="preserve"> AOC</w:t>
      </w:r>
      <w:r w:rsidRPr="00327022">
        <w:rPr>
          <w:rFonts w:ascii="Times New Roman" w:hAnsi="Times New Roman" w:cs="Times New Roman"/>
          <w:sz w:val="36"/>
          <w:szCs w:val="36"/>
        </w:rPr>
        <w:t xml:space="preserve"> – A rare and elegant white, made exclusively from </w:t>
      </w:r>
      <w:r w:rsidRPr="00327022">
        <w:rPr>
          <w:rFonts w:ascii="Times New Roman" w:hAnsi="Times New Roman" w:cs="Times New Roman"/>
          <w:b/>
          <w:bCs/>
          <w:sz w:val="36"/>
          <w:szCs w:val="36"/>
        </w:rPr>
        <w:t>Viognier</w:t>
      </w:r>
      <w:r w:rsidRPr="00327022">
        <w:rPr>
          <w:rFonts w:ascii="Times New Roman" w:hAnsi="Times New Roman" w:cs="Times New Roman"/>
          <w:sz w:val="36"/>
          <w:szCs w:val="36"/>
        </w:rPr>
        <w:t>, known for its floral and stone fruit notes.</w:t>
      </w:r>
    </w:p>
    <w:p w14:paraId="5C0935A3"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Major Wine Regions</w:t>
      </w:r>
    </w:p>
    <w:p w14:paraId="685B9803"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Northern Rhône</w:t>
      </w:r>
    </w:p>
    <w:p w14:paraId="1CE39737"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lastRenderedPageBreak/>
        <w:t xml:space="preserve">This smaller, cooler section of the valley is dominated by </w:t>
      </w:r>
      <w:r w:rsidRPr="00327022">
        <w:rPr>
          <w:rFonts w:ascii="Times New Roman" w:hAnsi="Times New Roman" w:cs="Times New Roman"/>
          <w:b/>
          <w:bCs/>
          <w:sz w:val="36"/>
          <w:szCs w:val="36"/>
        </w:rPr>
        <w:t>Syrah</w:t>
      </w:r>
      <w:r w:rsidRPr="00327022">
        <w:rPr>
          <w:rFonts w:ascii="Times New Roman" w:hAnsi="Times New Roman" w:cs="Times New Roman"/>
          <w:sz w:val="36"/>
          <w:szCs w:val="36"/>
        </w:rPr>
        <w:t>, producing structured reds with intense aromatics. Notable appellations include:</w:t>
      </w:r>
    </w:p>
    <w:p w14:paraId="622CD093" w14:textId="77777777" w:rsidR="00327022" w:rsidRPr="00327022" w:rsidRDefault="00327022" w:rsidP="00327022">
      <w:pPr>
        <w:numPr>
          <w:ilvl w:val="0"/>
          <w:numId w:val="9"/>
        </w:numPr>
        <w:rPr>
          <w:rFonts w:ascii="Times New Roman" w:hAnsi="Times New Roman" w:cs="Times New Roman"/>
          <w:sz w:val="36"/>
          <w:szCs w:val="36"/>
        </w:rPr>
      </w:pPr>
      <w:r w:rsidRPr="00327022">
        <w:rPr>
          <w:rFonts w:ascii="Times New Roman" w:hAnsi="Times New Roman" w:cs="Times New Roman"/>
          <w:b/>
          <w:bCs/>
          <w:sz w:val="36"/>
          <w:szCs w:val="36"/>
        </w:rPr>
        <w:t>Côte-</w:t>
      </w:r>
      <w:proofErr w:type="spellStart"/>
      <w:r w:rsidRPr="00327022">
        <w:rPr>
          <w:rFonts w:ascii="Times New Roman" w:hAnsi="Times New Roman" w:cs="Times New Roman"/>
          <w:b/>
          <w:bCs/>
          <w:sz w:val="36"/>
          <w:szCs w:val="36"/>
        </w:rPr>
        <w:t>Rôtie</w:t>
      </w:r>
      <w:proofErr w:type="spellEnd"/>
      <w:r w:rsidRPr="00327022">
        <w:rPr>
          <w:rFonts w:ascii="Times New Roman" w:hAnsi="Times New Roman" w:cs="Times New Roman"/>
          <w:sz w:val="36"/>
          <w:szCs w:val="36"/>
        </w:rPr>
        <w:t xml:space="preserve"> – Elegant and perfumed, often co-fermented with </w:t>
      </w:r>
      <w:r w:rsidRPr="00327022">
        <w:rPr>
          <w:rFonts w:ascii="Times New Roman" w:hAnsi="Times New Roman" w:cs="Times New Roman"/>
          <w:b/>
          <w:bCs/>
          <w:sz w:val="36"/>
          <w:szCs w:val="36"/>
        </w:rPr>
        <w:t>Viognier</w:t>
      </w:r>
      <w:r w:rsidRPr="00327022">
        <w:rPr>
          <w:rFonts w:ascii="Times New Roman" w:hAnsi="Times New Roman" w:cs="Times New Roman"/>
          <w:sz w:val="36"/>
          <w:szCs w:val="36"/>
        </w:rPr>
        <w:t xml:space="preserve"> for added complexity.</w:t>
      </w:r>
    </w:p>
    <w:p w14:paraId="6C4A8F0F" w14:textId="77777777" w:rsidR="00327022" w:rsidRPr="00327022" w:rsidRDefault="00327022" w:rsidP="00327022">
      <w:pPr>
        <w:numPr>
          <w:ilvl w:val="0"/>
          <w:numId w:val="9"/>
        </w:numPr>
        <w:rPr>
          <w:rFonts w:ascii="Times New Roman" w:hAnsi="Times New Roman" w:cs="Times New Roman"/>
          <w:sz w:val="36"/>
          <w:szCs w:val="36"/>
        </w:rPr>
      </w:pPr>
      <w:r w:rsidRPr="00327022">
        <w:rPr>
          <w:rFonts w:ascii="Times New Roman" w:hAnsi="Times New Roman" w:cs="Times New Roman"/>
          <w:b/>
          <w:bCs/>
          <w:sz w:val="36"/>
          <w:szCs w:val="36"/>
        </w:rPr>
        <w:t>Hermitage</w:t>
      </w:r>
      <w:r w:rsidRPr="00327022">
        <w:rPr>
          <w:rFonts w:ascii="Times New Roman" w:hAnsi="Times New Roman" w:cs="Times New Roman"/>
          <w:sz w:val="36"/>
          <w:szCs w:val="36"/>
        </w:rPr>
        <w:t xml:space="preserve"> – The most prestigious </w:t>
      </w:r>
      <w:r w:rsidRPr="00327022">
        <w:rPr>
          <w:rFonts w:ascii="Times New Roman" w:hAnsi="Times New Roman" w:cs="Times New Roman"/>
          <w:b/>
          <w:bCs/>
          <w:sz w:val="36"/>
          <w:szCs w:val="36"/>
        </w:rPr>
        <w:t>Syrah appellation</w:t>
      </w:r>
      <w:r w:rsidRPr="00327022">
        <w:rPr>
          <w:rFonts w:ascii="Times New Roman" w:hAnsi="Times New Roman" w:cs="Times New Roman"/>
          <w:sz w:val="36"/>
          <w:szCs w:val="36"/>
        </w:rPr>
        <w:t>, yielding full-bodied, long-lived wines.</w:t>
      </w:r>
    </w:p>
    <w:p w14:paraId="035F35BA" w14:textId="77777777" w:rsidR="00327022" w:rsidRPr="00327022" w:rsidRDefault="00327022" w:rsidP="00327022">
      <w:pPr>
        <w:numPr>
          <w:ilvl w:val="0"/>
          <w:numId w:val="9"/>
        </w:numPr>
        <w:rPr>
          <w:rFonts w:ascii="Times New Roman" w:hAnsi="Times New Roman" w:cs="Times New Roman"/>
          <w:sz w:val="36"/>
          <w:szCs w:val="36"/>
        </w:rPr>
      </w:pPr>
      <w:proofErr w:type="spellStart"/>
      <w:r w:rsidRPr="00327022">
        <w:rPr>
          <w:rFonts w:ascii="Times New Roman" w:hAnsi="Times New Roman" w:cs="Times New Roman"/>
          <w:b/>
          <w:bCs/>
          <w:sz w:val="36"/>
          <w:szCs w:val="36"/>
        </w:rPr>
        <w:t>Cornas</w:t>
      </w:r>
      <w:proofErr w:type="spellEnd"/>
      <w:r w:rsidRPr="00327022">
        <w:rPr>
          <w:rFonts w:ascii="Times New Roman" w:hAnsi="Times New Roman" w:cs="Times New Roman"/>
          <w:sz w:val="36"/>
          <w:szCs w:val="36"/>
        </w:rPr>
        <w:t xml:space="preserve"> – Produces </w:t>
      </w:r>
      <w:r w:rsidRPr="00327022">
        <w:rPr>
          <w:rFonts w:ascii="Times New Roman" w:hAnsi="Times New Roman" w:cs="Times New Roman"/>
          <w:b/>
          <w:bCs/>
          <w:sz w:val="36"/>
          <w:szCs w:val="36"/>
        </w:rPr>
        <w:t>100% Syrah</w:t>
      </w:r>
      <w:r w:rsidRPr="00327022">
        <w:rPr>
          <w:rFonts w:ascii="Times New Roman" w:hAnsi="Times New Roman" w:cs="Times New Roman"/>
          <w:sz w:val="36"/>
          <w:szCs w:val="36"/>
        </w:rPr>
        <w:t xml:space="preserve"> wines that are bold, rustic, and deeply concentrated.</w:t>
      </w:r>
    </w:p>
    <w:p w14:paraId="769CDD09"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Southern Rhône</w:t>
      </w:r>
    </w:p>
    <w:p w14:paraId="7AD89282"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A warmer, Mediterranean-influenced region, Southern Rhône is known for </w:t>
      </w:r>
      <w:r w:rsidRPr="00327022">
        <w:rPr>
          <w:rFonts w:ascii="Times New Roman" w:hAnsi="Times New Roman" w:cs="Times New Roman"/>
          <w:b/>
          <w:bCs/>
          <w:sz w:val="36"/>
          <w:szCs w:val="36"/>
        </w:rPr>
        <w:t>blended wines</w:t>
      </w:r>
      <w:r w:rsidRPr="00327022">
        <w:rPr>
          <w:rFonts w:ascii="Times New Roman" w:hAnsi="Times New Roman" w:cs="Times New Roman"/>
          <w:sz w:val="36"/>
          <w:szCs w:val="36"/>
        </w:rPr>
        <w:t xml:space="preserve">, with </w:t>
      </w:r>
      <w:r w:rsidRPr="00327022">
        <w:rPr>
          <w:rFonts w:ascii="Times New Roman" w:hAnsi="Times New Roman" w:cs="Times New Roman"/>
          <w:b/>
          <w:bCs/>
          <w:sz w:val="36"/>
          <w:szCs w:val="36"/>
        </w:rPr>
        <w:t>Grenache, Syrah, and Mourvèdre (GSM)</w:t>
      </w:r>
      <w:r w:rsidRPr="00327022">
        <w:rPr>
          <w:rFonts w:ascii="Times New Roman" w:hAnsi="Times New Roman" w:cs="Times New Roman"/>
          <w:sz w:val="36"/>
          <w:szCs w:val="36"/>
        </w:rPr>
        <w:t xml:space="preserve"> playing central roles. Key appellations include:</w:t>
      </w:r>
    </w:p>
    <w:p w14:paraId="61798953" w14:textId="77777777" w:rsidR="00327022" w:rsidRPr="00327022" w:rsidRDefault="00327022" w:rsidP="00327022">
      <w:pPr>
        <w:numPr>
          <w:ilvl w:val="0"/>
          <w:numId w:val="10"/>
        </w:numPr>
        <w:rPr>
          <w:rFonts w:ascii="Times New Roman" w:hAnsi="Times New Roman" w:cs="Times New Roman"/>
          <w:sz w:val="36"/>
          <w:szCs w:val="36"/>
        </w:rPr>
      </w:pPr>
      <w:r w:rsidRPr="00327022">
        <w:rPr>
          <w:rFonts w:ascii="Times New Roman" w:hAnsi="Times New Roman" w:cs="Times New Roman"/>
          <w:b/>
          <w:bCs/>
          <w:sz w:val="36"/>
          <w:szCs w:val="36"/>
        </w:rPr>
        <w:t>Châteauneuf-du-Pape</w:t>
      </w:r>
      <w:r w:rsidRPr="00327022">
        <w:rPr>
          <w:rFonts w:ascii="Times New Roman" w:hAnsi="Times New Roman" w:cs="Times New Roman"/>
          <w:sz w:val="36"/>
          <w:szCs w:val="36"/>
        </w:rPr>
        <w:t xml:space="preserve"> – The most famous appellation, allowing up to </w:t>
      </w:r>
      <w:r w:rsidRPr="00327022">
        <w:rPr>
          <w:rFonts w:ascii="Times New Roman" w:hAnsi="Times New Roman" w:cs="Times New Roman"/>
          <w:b/>
          <w:bCs/>
          <w:sz w:val="36"/>
          <w:szCs w:val="36"/>
        </w:rPr>
        <w:t>13 permitted grape varieties</w:t>
      </w:r>
      <w:r w:rsidRPr="00327022">
        <w:rPr>
          <w:rFonts w:ascii="Times New Roman" w:hAnsi="Times New Roman" w:cs="Times New Roman"/>
          <w:sz w:val="36"/>
          <w:szCs w:val="36"/>
        </w:rPr>
        <w:t>.</w:t>
      </w:r>
    </w:p>
    <w:p w14:paraId="0E9617FC" w14:textId="77777777" w:rsidR="00327022" w:rsidRPr="00327022" w:rsidRDefault="00327022" w:rsidP="00327022">
      <w:pPr>
        <w:numPr>
          <w:ilvl w:val="0"/>
          <w:numId w:val="10"/>
        </w:numPr>
        <w:rPr>
          <w:rFonts w:ascii="Times New Roman" w:hAnsi="Times New Roman" w:cs="Times New Roman"/>
          <w:sz w:val="36"/>
          <w:szCs w:val="36"/>
        </w:rPr>
      </w:pPr>
      <w:proofErr w:type="spellStart"/>
      <w:r w:rsidRPr="00327022">
        <w:rPr>
          <w:rFonts w:ascii="Times New Roman" w:hAnsi="Times New Roman" w:cs="Times New Roman"/>
          <w:b/>
          <w:bCs/>
          <w:sz w:val="36"/>
          <w:szCs w:val="36"/>
        </w:rPr>
        <w:t>Gigondas</w:t>
      </w:r>
      <w:proofErr w:type="spellEnd"/>
      <w:r w:rsidRPr="00327022">
        <w:rPr>
          <w:rFonts w:ascii="Times New Roman" w:hAnsi="Times New Roman" w:cs="Times New Roman"/>
          <w:sz w:val="36"/>
          <w:szCs w:val="36"/>
        </w:rPr>
        <w:t xml:space="preserve"> – A </w:t>
      </w:r>
      <w:r w:rsidRPr="00327022">
        <w:rPr>
          <w:rFonts w:ascii="Times New Roman" w:hAnsi="Times New Roman" w:cs="Times New Roman"/>
          <w:b/>
          <w:bCs/>
          <w:sz w:val="36"/>
          <w:szCs w:val="36"/>
        </w:rPr>
        <w:t>Grenache-heavy</w:t>
      </w:r>
      <w:r w:rsidRPr="00327022">
        <w:rPr>
          <w:rFonts w:ascii="Times New Roman" w:hAnsi="Times New Roman" w:cs="Times New Roman"/>
          <w:sz w:val="36"/>
          <w:szCs w:val="36"/>
        </w:rPr>
        <w:t xml:space="preserve"> wine with bold tannins and spiced red fruit flavors.</w:t>
      </w:r>
    </w:p>
    <w:p w14:paraId="2F22E86D" w14:textId="77777777" w:rsidR="00327022" w:rsidRPr="00327022" w:rsidRDefault="00327022" w:rsidP="00327022">
      <w:pPr>
        <w:numPr>
          <w:ilvl w:val="0"/>
          <w:numId w:val="10"/>
        </w:numPr>
        <w:rPr>
          <w:rFonts w:ascii="Times New Roman" w:hAnsi="Times New Roman" w:cs="Times New Roman"/>
          <w:sz w:val="36"/>
          <w:szCs w:val="36"/>
        </w:rPr>
      </w:pPr>
      <w:proofErr w:type="spellStart"/>
      <w:r w:rsidRPr="00327022">
        <w:rPr>
          <w:rFonts w:ascii="Times New Roman" w:hAnsi="Times New Roman" w:cs="Times New Roman"/>
          <w:b/>
          <w:bCs/>
          <w:sz w:val="36"/>
          <w:szCs w:val="36"/>
        </w:rPr>
        <w:t>Vacqueyras</w:t>
      </w:r>
      <w:proofErr w:type="spellEnd"/>
      <w:r w:rsidRPr="00327022">
        <w:rPr>
          <w:rFonts w:ascii="Times New Roman" w:hAnsi="Times New Roman" w:cs="Times New Roman"/>
          <w:sz w:val="36"/>
          <w:szCs w:val="36"/>
        </w:rPr>
        <w:t xml:space="preserve"> – A more rustic, earth-driven alternative to Châteauneuf-du-Pape.</w:t>
      </w:r>
    </w:p>
    <w:p w14:paraId="693B7B2E"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Terroir</w:t>
      </w:r>
    </w:p>
    <w:p w14:paraId="29F18EE5"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The Rhône Valley’s </w:t>
      </w:r>
      <w:r w:rsidRPr="00327022">
        <w:rPr>
          <w:rFonts w:ascii="Times New Roman" w:hAnsi="Times New Roman" w:cs="Times New Roman"/>
          <w:b/>
          <w:bCs/>
          <w:sz w:val="36"/>
          <w:szCs w:val="36"/>
        </w:rPr>
        <w:t>diverse soils and climates</w:t>
      </w:r>
      <w:r w:rsidRPr="00327022">
        <w:rPr>
          <w:rFonts w:ascii="Times New Roman" w:hAnsi="Times New Roman" w:cs="Times New Roman"/>
          <w:sz w:val="36"/>
          <w:szCs w:val="36"/>
        </w:rPr>
        <w:t xml:space="preserve"> contribute to its unique wine profiles.</w:t>
      </w:r>
    </w:p>
    <w:p w14:paraId="3303B258" w14:textId="77777777" w:rsidR="00327022" w:rsidRPr="00327022" w:rsidRDefault="00327022" w:rsidP="00327022">
      <w:pPr>
        <w:numPr>
          <w:ilvl w:val="0"/>
          <w:numId w:val="11"/>
        </w:numPr>
        <w:rPr>
          <w:rFonts w:ascii="Times New Roman" w:hAnsi="Times New Roman" w:cs="Times New Roman"/>
          <w:sz w:val="36"/>
          <w:szCs w:val="36"/>
        </w:rPr>
      </w:pPr>
      <w:r w:rsidRPr="00327022">
        <w:rPr>
          <w:rFonts w:ascii="Times New Roman" w:hAnsi="Times New Roman" w:cs="Times New Roman"/>
          <w:b/>
          <w:bCs/>
          <w:sz w:val="36"/>
          <w:szCs w:val="36"/>
        </w:rPr>
        <w:lastRenderedPageBreak/>
        <w:t>Soils</w:t>
      </w:r>
      <w:r w:rsidRPr="00327022">
        <w:rPr>
          <w:rFonts w:ascii="Times New Roman" w:hAnsi="Times New Roman" w:cs="Times New Roman"/>
          <w:sz w:val="36"/>
          <w:szCs w:val="36"/>
        </w:rPr>
        <w:t xml:space="preserve"> – A mix of </w:t>
      </w:r>
      <w:r w:rsidRPr="00327022">
        <w:rPr>
          <w:rFonts w:ascii="Times New Roman" w:hAnsi="Times New Roman" w:cs="Times New Roman"/>
          <w:b/>
          <w:bCs/>
          <w:sz w:val="36"/>
          <w:szCs w:val="36"/>
        </w:rPr>
        <w:t xml:space="preserve">granite (Northern Rhône), limestone, clay, and </w:t>
      </w:r>
      <w:proofErr w:type="spellStart"/>
      <w:r w:rsidRPr="00327022">
        <w:rPr>
          <w:rFonts w:ascii="Times New Roman" w:hAnsi="Times New Roman" w:cs="Times New Roman"/>
          <w:b/>
          <w:bCs/>
          <w:sz w:val="36"/>
          <w:szCs w:val="36"/>
        </w:rPr>
        <w:t>galets</w:t>
      </w:r>
      <w:proofErr w:type="spellEnd"/>
      <w:r w:rsidRPr="00327022">
        <w:rPr>
          <w:rFonts w:ascii="Times New Roman" w:hAnsi="Times New Roman" w:cs="Times New Roman"/>
          <w:b/>
          <w:bCs/>
          <w:sz w:val="36"/>
          <w:szCs w:val="36"/>
        </w:rPr>
        <w:t xml:space="preserve"> </w:t>
      </w:r>
      <w:proofErr w:type="spellStart"/>
      <w:r w:rsidRPr="00327022">
        <w:rPr>
          <w:rFonts w:ascii="Times New Roman" w:hAnsi="Times New Roman" w:cs="Times New Roman"/>
          <w:b/>
          <w:bCs/>
          <w:sz w:val="36"/>
          <w:szCs w:val="36"/>
        </w:rPr>
        <w:t>roulés</w:t>
      </w:r>
      <w:proofErr w:type="spellEnd"/>
      <w:r w:rsidRPr="00327022">
        <w:rPr>
          <w:rFonts w:ascii="Times New Roman" w:hAnsi="Times New Roman" w:cs="Times New Roman"/>
          <w:b/>
          <w:bCs/>
          <w:sz w:val="36"/>
          <w:szCs w:val="36"/>
        </w:rPr>
        <w:t xml:space="preserve"> (Southern Rhône)</w:t>
      </w:r>
      <w:r w:rsidRPr="00327022">
        <w:rPr>
          <w:rFonts w:ascii="Times New Roman" w:hAnsi="Times New Roman" w:cs="Times New Roman"/>
          <w:sz w:val="36"/>
          <w:szCs w:val="36"/>
        </w:rPr>
        <w:t>.</w:t>
      </w:r>
    </w:p>
    <w:p w14:paraId="2FDDBAED" w14:textId="77777777" w:rsidR="00327022" w:rsidRPr="00327022" w:rsidRDefault="00327022" w:rsidP="00327022">
      <w:pPr>
        <w:numPr>
          <w:ilvl w:val="0"/>
          <w:numId w:val="11"/>
        </w:numPr>
        <w:rPr>
          <w:rFonts w:ascii="Times New Roman" w:hAnsi="Times New Roman" w:cs="Times New Roman"/>
          <w:sz w:val="36"/>
          <w:szCs w:val="36"/>
        </w:rPr>
      </w:pPr>
      <w:r w:rsidRPr="00327022">
        <w:rPr>
          <w:rFonts w:ascii="Times New Roman" w:hAnsi="Times New Roman" w:cs="Times New Roman"/>
          <w:b/>
          <w:bCs/>
          <w:sz w:val="36"/>
          <w:szCs w:val="36"/>
        </w:rPr>
        <w:t>Climate</w:t>
      </w:r>
      <w:r w:rsidRPr="00327022">
        <w:rPr>
          <w:rFonts w:ascii="Times New Roman" w:hAnsi="Times New Roman" w:cs="Times New Roman"/>
          <w:sz w:val="36"/>
          <w:szCs w:val="36"/>
        </w:rPr>
        <w:t xml:space="preserve"> – </w:t>
      </w:r>
      <w:r w:rsidRPr="00327022">
        <w:rPr>
          <w:rFonts w:ascii="Times New Roman" w:hAnsi="Times New Roman" w:cs="Times New Roman"/>
          <w:b/>
          <w:bCs/>
          <w:sz w:val="36"/>
          <w:szCs w:val="36"/>
        </w:rPr>
        <w:t>Continental in the north</w:t>
      </w:r>
      <w:r w:rsidRPr="00327022">
        <w:rPr>
          <w:rFonts w:ascii="Times New Roman" w:hAnsi="Times New Roman" w:cs="Times New Roman"/>
          <w:sz w:val="36"/>
          <w:szCs w:val="36"/>
        </w:rPr>
        <w:t xml:space="preserve"> with cooler conditions, and </w:t>
      </w:r>
      <w:r w:rsidRPr="00327022">
        <w:rPr>
          <w:rFonts w:ascii="Times New Roman" w:hAnsi="Times New Roman" w:cs="Times New Roman"/>
          <w:b/>
          <w:bCs/>
          <w:sz w:val="36"/>
          <w:szCs w:val="36"/>
        </w:rPr>
        <w:t>Mediterranean in the south</w:t>
      </w:r>
      <w:r w:rsidRPr="00327022">
        <w:rPr>
          <w:rFonts w:ascii="Times New Roman" w:hAnsi="Times New Roman" w:cs="Times New Roman"/>
          <w:sz w:val="36"/>
          <w:szCs w:val="36"/>
        </w:rPr>
        <w:t>, allowing for fuller ripening.</w:t>
      </w:r>
    </w:p>
    <w:p w14:paraId="6858F195" w14:textId="77777777" w:rsidR="00327022" w:rsidRPr="00327022" w:rsidRDefault="00327022" w:rsidP="00327022">
      <w:pPr>
        <w:numPr>
          <w:ilvl w:val="0"/>
          <w:numId w:val="11"/>
        </w:numPr>
        <w:rPr>
          <w:rFonts w:ascii="Times New Roman" w:hAnsi="Times New Roman" w:cs="Times New Roman"/>
          <w:sz w:val="36"/>
          <w:szCs w:val="36"/>
        </w:rPr>
      </w:pPr>
      <w:r w:rsidRPr="00327022">
        <w:rPr>
          <w:rFonts w:ascii="Times New Roman" w:hAnsi="Times New Roman" w:cs="Times New Roman"/>
          <w:b/>
          <w:bCs/>
          <w:sz w:val="36"/>
          <w:szCs w:val="36"/>
        </w:rPr>
        <w:t>Mistral Wind</w:t>
      </w:r>
      <w:r w:rsidRPr="00327022">
        <w:rPr>
          <w:rFonts w:ascii="Times New Roman" w:hAnsi="Times New Roman" w:cs="Times New Roman"/>
          <w:sz w:val="36"/>
          <w:szCs w:val="36"/>
        </w:rPr>
        <w:t xml:space="preserve"> – A defining factor that reduces disease pressure and enhances grape concentration.</w:t>
      </w:r>
    </w:p>
    <w:p w14:paraId="3738D904"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Notable Grape Varieties</w:t>
      </w:r>
    </w:p>
    <w:p w14:paraId="1AEA39E9"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Syrah</w:t>
      </w:r>
    </w:p>
    <w:p w14:paraId="26BC4FC0"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The dominant red grape of Northern Rhône, </w:t>
      </w:r>
      <w:r w:rsidRPr="00327022">
        <w:rPr>
          <w:rFonts w:ascii="Times New Roman" w:hAnsi="Times New Roman" w:cs="Times New Roman"/>
          <w:b/>
          <w:bCs/>
          <w:sz w:val="36"/>
          <w:szCs w:val="36"/>
        </w:rPr>
        <w:t>Syrah</w:t>
      </w:r>
      <w:r w:rsidRPr="00327022">
        <w:rPr>
          <w:rFonts w:ascii="Times New Roman" w:hAnsi="Times New Roman" w:cs="Times New Roman"/>
          <w:sz w:val="36"/>
          <w:szCs w:val="36"/>
        </w:rPr>
        <w:t xml:space="preserve"> is known for its </w:t>
      </w:r>
      <w:r w:rsidRPr="00327022">
        <w:rPr>
          <w:rFonts w:ascii="Times New Roman" w:hAnsi="Times New Roman" w:cs="Times New Roman"/>
          <w:b/>
          <w:bCs/>
          <w:sz w:val="36"/>
          <w:szCs w:val="36"/>
        </w:rPr>
        <w:t>black fruit, pepper, floral notes, and structured tannins</w:t>
      </w:r>
      <w:r w:rsidRPr="00327022">
        <w:rPr>
          <w:rFonts w:ascii="Times New Roman" w:hAnsi="Times New Roman" w:cs="Times New Roman"/>
          <w:sz w:val="36"/>
          <w:szCs w:val="36"/>
        </w:rPr>
        <w:t>.</w:t>
      </w:r>
    </w:p>
    <w:p w14:paraId="214C43C1"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Grenache</w:t>
      </w:r>
    </w:p>
    <w:p w14:paraId="05D01623"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A key grape in Southern Rhône, </w:t>
      </w:r>
      <w:r w:rsidRPr="00327022">
        <w:rPr>
          <w:rFonts w:ascii="Times New Roman" w:hAnsi="Times New Roman" w:cs="Times New Roman"/>
          <w:b/>
          <w:bCs/>
          <w:sz w:val="36"/>
          <w:szCs w:val="36"/>
        </w:rPr>
        <w:t>Grenache</w:t>
      </w:r>
      <w:r w:rsidRPr="00327022">
        <w:rPr>
          <w:rFonts w:ascii="Times New Roman" w:hAnsi="Times New Roman" w:cs="Times New Roman"/>
          <w:sz w:val="36"/>
          <w:szCs w:val="36"/>
        </w:rPr>
        <w:t xml:space="preserve"> brings </w:t>
      </w:r>
      <w:r w:rsidRPr="00327022">
        <w:rPr>
          <w:rFonts w:ascii="Times New Roman" w:hAnsi="Times New Roman" w:cs="Times New Roman"/>
          <w:b/>
          <w:bCs/>
          <w:sz w:val="36"/>
          <w:szCs w:val="36"/>
        </w:rPr>
        <w:t>ripe red fruit, spice, and roundness</w:t>
      </w:r>
      <w:r w:rsidRPr="00327022">
        <w:rPr>
          <w:rFonts w:ascii="Times New Roman" w:hAnsi="Times New Roman" w:cs="Times New Roman"/>
          <w:sz w:val="36"/>
          <w:szCs w:val="36"/>
        </w:rPr>
        <w:t xml:space="preserve"> to blends.</w:t>
      </w:r>
    </w:p>
    <w:p w14:paraId="1AEDFA15"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Mourvèdre</w:t>
      </w:r>
    </w:p>
    <w:p w14:paraId="369FC867"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Adds </w:t>
      </w:r>
      <w:r w:rsidRPr="00327022">
        <w:rPr>
          <w:rFonts w:ascii="Times New Roman" w:hAnsi="Times New Roman" w:cs="Times New Roman"/>
          <w:b/>
          <w:bCs/>
          <w:sz w:val="36"/>
          <w:szCs w:val="36"/>
        </w:rPr>
        <w:t>structure, dark fruit, and gamey complexity</w:t>
      </w:r>
      <w:r w:rsidRPr="00327022">
        <w:rPr>
          <w:rFonts w:ascii="Times New Roman" w:hAnsi="Times New Roman" w:cs="Times New Roman"/>
          <w:sz w:val="36"/>
          <w:szCs w:val="36"/>
        </w:rPr>
        <w:t xml:space="preserve">, particularly in </w:t>
      </w:r>
      <w:r w:rsidRPr="00327022">
        <w:rPr>
          <w:rFonts w:ascii="Times New Roman" w:hAnsi="Times New Roman" w:cs="Times New Roman"/>
          <w:b/>
          <w:bCs/>
          <w:sz w:val="36"/>
          <w:szCs w:val="36"/>
        </w:rPr>
        <w:t>Châteauneuf-du-Pape</w:t>
      </w:r>
      <w:r w:rsidRPr="00327022">
        <w:rPr>
          <w:rFonts w:ascii="Times New Roman" w:hAnsi="Times New Roman" w:cs="Times New Roman"/>
          <w:sz w:val="36"/>
          <w:szCs w:val="36"/>
        </w:rPr>
        <w:t xml:space="preserve"> and </w:t>
      </w:r>
      <w:r w:rsidRPr="00327022">
        <w:rPr>
          <w:rFonts w:ascii="Times New Roman" w:hAnsi="Times New Roman" w:cs="Times New Roman"/>
          <w:b/>
          <w:bCs/>
          <w:sz w:val="36"/>
          <w:szCs w:val="36"/>
        </w:rPr>
        <w:t>Bandol</w:t>
      </w:r>
      <w:r w:rsidRPr="00327022">
        <w:rPr>
          <w:rFonts w:ascii="Times New Roman" w:hAnsi="Times New Roman" w:cs="Times New Roman"/>
          <w:sz w:val="36"/>
          <w:szCs w:val="36"/>
        </w:rPr>
        <w:t>.</w:t>
      </w:r>
    </w:p>
    <w:p w14:paraId="2AD7E9EA"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Viognier</w:t>
      </w:r>
    </w:p>
    <w:p w14:paraId="38358F53"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The signature white grape of Northern Rhône, </w:t>
      </w:r>
      <w:r w:rsidRPr="00327022">
        <w:rPr>
          <w:rFonts w:ascii="Times New Roman" w:hAnsi="Times New Roman" w:cs="Times New Roman"/>
          <w:b/>
          <w:bCs/>
          <w:sz w:val="36"/>
          <w:szCs w:val="36"/>
        </w:rPr>
        <w:t>Viognier</w:t>
      </w:r>
      <w:r w:rsidRPr="00327022">
        <w:rPr>
          <w:rFonts w:ascii="Times New Roman" w:hAnsi="Times New Roman" w:cs="Times New Roman"/>
          <w:sz w:val="36"/>
          <w:szCs w:val="36"/>
        </w:rPr>
        <w:t xml:space="preserve"> is celebrated for its </w:t>
      </w:r>
      <w:r w:rsidRPr="00327022">
        <w:rPr>
          <w:rFonts w:ascii="Times New Roman" w:hAnsi="Times New Roman" w:cs="Times New Roman"/>
          <w:b/>
          <w:bCs/>
          <w:sz w:val="36"/>
          <w:szCs w:val="36"/>
        </w:rPr>
        <w:t>aromatic intensity, stone fruit flavors, and rich texture</w:t>
      </w:r>
      <w:r w:rsidRPr="00327022">
        <w:rPr>
          <w:rFonts w:ascii="Times New Roman" w:hAnsi="Times New Roman" w:cs="Times New Roman"/>
          <w:sz w:val="36"/>
          <w:szCs w:val="36"/>
        </w:rPr>
        <w:t>.</w:t>
      </w:r>
    </w:p>
    <w:p w14:paraId="79C82A68"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Notable Wineries</w:t>
      </w:r>
    </w:p>
    <w:p w14:paraId="0F0FCE05"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lastRenderedPageBreak/>
        <w:t xml:space="preserve">E. </w:t>
      </w:r>
      <w:proofErr w:type="spellStart"/>
      <w:r w:rsidRPr="00327022">
        <w:rPr>
          <w:rFonts w:ascii="Times New Roman" w:hAnsi="Times New Roman" w:cs="Times New Roman"/>
          <w:b/>
          <w:bCs/>
          <w:sz w:val="36"/>
          <w:szCs w:val="36"/>
        </w:rPr>
        <w:t>Guigal</w:t>
      </w:r>
      <w:proofErr w:type="spellEnd"/>
      <w:r w:rsidRPr="00327022">
        <w:rPr>
          <w:rFonts w:ascii="Times New Roman" w:hAnsi="Times New Roman" w:cs="Times New Roman"/>
          <w:b/>
          <w:bCs/>
          <w:sz w:val="36"/>
          <w:szCs w:val="36"/>
        </w:rPr>
        <w:t xml:space="preserve"> (Côte-</w:t>
      </w:r>
      <w:proofErr w:type="spellStart"/>
      <w:r w:rsidRPr="00327022">
        <w:rPr>
          <w:rFonts w:ascii="Times New Roman" w:hAnsi="Times New Roman" w:cs="Times New Roman"/>
          <w:b/>
          <w:bCs/>
          <w:sz w:val="36"/>
          <w:szCs w:val="36"/>
        </w:rPr>
        <w:t>Rôtie</w:t>
      </w:r>
      <w:proofErr w:type="spellEnd"/>
      <w:r w:rsidRPr="00327022">
        <w:rPr>
          <w:rFonts w:ascii="Times New Roman" w:hAnsi="Times New Roman" w:cs="Times New Roman"/>
          <w:b/>
          <w:bCs/>
          <w:sz w:val="36"/>
          <w:szCs w:val="36"/>
        </w:rPr>
        <w:t>)</w:t>
      </w:r>
    </w:p>
    <w:p w14:paraId="6C5F6191"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A legendary producer, </w:t>
      </w:r>
      <w:proofErr w:type="spellStart"/>
      <w:r w:rsidRPr="00327022">
        <w:rPr>
          <w:rFonts w:ascii="Times New Roman" w:hAnsi="Times New Roman" w:cs="Times New Roman"/>
          <w:sz w:val="36"/>
          <w:szCs w:val="36"/>
        </w:rPr>
        <w:t>Guigal</w:t>
      </w:r>
      <w:proofErr w:type="spellEnd"/>
      <w:r w:rsidRPr="00327022">
        <w:rPr>
          <w:rFonts w:ascii="Times New Roman" w:hAnsi="Times New Roman" w:cs="Times New Roman"/>
          <w:sz w:val="36"/>
          <w:szCs w:val="36"/>
        </w:rPr>
        <w:t xml:space="preserve"> is known for its </w:t>
      </w:r>
      <w:r w:rsidRPr="00327022">
        <w:rPr>
          <w:rFonts w:ascii="Times New Roman" w:hAnsi="Times New Roman" w:cs="Times New Roman"/>
          <w:b/>
          <w:bCs/>
          <w:sz w:val="36"/>
          <w:szCs w:val="36"/>
        </w:rPr>
        <w:t>high-end Syrah wines</w:t>
      </w:r>
      <w:r w:rsidRPr="00327022">
        <w:rPr>
          <w:rFonts w:ascii="Times New Roman" w:hAnsi="Times New Roman" w:cs="Times New Roman"/>
          <w:sz w:val="36"/>
          <w:szCs w:val="36"/>
        </w:rPr>
        <w:t xml:space="preserve">, including the coveted </w:t>
      </w:r>
      <w:r w:rsidRPr="00327022">
        <w:rPr>
          <w:rFonts w:ascii="Times New Roman" w:hAnsi="Times New Roman" w:cs="Times New Roman"/>
          <w:b/>
          <w:bCs/>
          <w:sz w:val="36"/>
          <w:szCs w:val="36"/>
        </w:rPr>
        <w:t xml:space="preserve">La </w:t>
      </w:r>
      <w:proofErr w:type="spellStart"/>
      <w:r w:rsidRPr="00327022">
        <w:rPr>
          <w:rFonts w:ascii="Times New Roman" w:hAnsi="Times New Roman" w:cs="Times New Roman"/>
          <w:b/>
          <w:bCs/>
          <w:sz w:val="36"/>
          <w:szCs w:val="36"/>
        </w:rPr>
        <w:t>Mouline</w:t>
      </w:r>
      <w:proofErr w:type="spellEnd"/>
      <w:r w:rsidRPr="00327022">
        <w:rPr>
          <w:rFonts w:ascii="Times New Roman" w:hAnsi="Times New Roman" w:cs="Times New Roman"/>
          <w:b/>
          <w:bCs/>
          <w:sz w:val="36"/>
          <w:szCs w:val="36"/>
        </w:rPr>
        <w:t xml:space="preserve">, La </w:t>
      </w:r>
      <w:proofErr w:type="spellStart"/>
      <w:r w:rsidRPr="00327022">
        <w:rPr>
          <w:rFonts w:ascii="Times New Roman" w:hAnsi="Times New Roman" w:cs="Times New Roman"/>
          <w:b/>
          <w:bCs/>
          <w:sz w:val="36"/>
          <w:szCs w:val="36"/>
        </w:rPr>
        <w:t>Landonne</w:t>
      </w:r>
      <w:proofErr w:type="spellEnd"/>
      <w:r w:rsidRPr="00327022">
        <w:rPr>
          <w:rFonts w:ascii="Times New Roman" w:hAnsi="Times New Roman" w:cs="Times New Roman"/>
          <w:b/>
          <w:bCs/>
          <w:sz w:val="36"/>
          <w:szCs w:val="36"/>
        </w:rPr>
        <w:t>, and La Turque</w:t>
      </w:r>
      <w:r w:rsidRPr="00327022">
        <w:rPr>
          <w:rFonts w:ascii="Times New Roman" w:hAnsi="Times New Roman" w:cs="Times New Roman"/>
          <w:sz w:val="36"/>
          <w:szCs w:val="36"/>
        </w:rPr>
        <w:t>.</w:t>
      </w:r>
    </w:p>
    <w:p w14:paraId="222EEA05"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 xml:space="preserve">Paul </w:t>
      </w:r>
      <w:proofErr w:type="spellStart"/>
      <w:r w:rsidRPr="00327022">
        <w:rPr>
          <w:rFonts w:ascii="Times New Roman" w:hAnsi="Times New Roman" w:cs="Times New Roman"/>
          <w:b/>
          <w:bCs/>
          <w:sz w:val="36"/>
          <w:szCs w:val="36"/>
        </w:rPr>
        <w:t>Jaboulet</w:t>
      </w:r>
      <w:proofErr w:type="spellEnd"/>
      <w:r w:rsidRPr="00327022">
        <w:rPr>
          <w:rFonts w:ascii="Times New Roman" w:hAnsi="Times New Roman" w:cs="Times New Roman"/>
          <w:b/>
          <w:bCs/>
          <w:sz w:val="36"/>
          <w:szCs w:val="36"/>
        </w:rPr>
        <w:t xml:space="preserve"> </w:t>
      </w:r>
      <w:proofErr w:type="spellStart"/>
      <w:r w:rsidRPr="00327022">
        <w:rPr>
          <w:rFonts w:ascii="Times New Roman" w:hAnsi="Times New Roman" w:cs="Times New Roman"/>
          <w:b/>
          <w:bCs/>
          <w:sz w:val="36"/>
          <w:szCs w:val="36"/>
        </w:rPr>
        <w:t>Aîné</w:t>
      </w:r>
      <w:proofErr w:type="spellEnd"/>
      <w:r w:rsidRPr="00327022">
        <w:rPr>
          <w:rFonts w:ascii="Times New Roman" w:hAnsi="Times New Roman" w:cs="Times New Roman"/>
          <w:b/>
          <w:bCs/>
          <w:sz w:val="36"/>
          <w:szCs w:val="36"/>
        </w:rPr>
        <w:t xml:space="preserve"> (Hermitage)</w:t>
      </w:r>
    </w:p>
    <w:p w14:paraId="7CD47C7B"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A historic producer crafting some of </w:t>
      </w:r>
      <w:r w:rsidRPr="00327022">
        <w:rPr>
          <w:rFonts w:ascii="Times New Roman" w:hAnsi="Times New Roman" w:cs="Times New Roman"/>
          <w:b/>
          <w:bCs/>
          <w:sz w:val="36"/>
          <w:szCs w:val="36"/>
        </w:rPr>
        <w:t>Hermitage’s most age-worthy Syrah wines</w:t>
      </w:r>
      <w:r w:rsidRPr="00327022">
        <w:rPr>
          <w:rFonts w:ascii="Times New Roman" w:hAnsi="Times New Roman" w:cs="Times New Roman"/>
          <w:sz w:val="36"/>
          <w:szCs w:val="36"/>
        </w:rPr>
        <w:t xml:space="preserve">, including the renowned </w:t>
      </w:r>
      <w:r w:rsidRPr="00327022">
        <w:rPr>
          <w:rFonts w:ascii="Times New Roman" w:hAnsi="Times New Roman" w:cs="Times New Roman"/>
          <w:b/>
          <w:bCs/>
          <w:sz w:val="36"/>
          <w:szCs w:val="36"/>
        </w:rPr>
        <w:t>La Chapelle</w:t>
      </w:r>
      <w:r w:rsidRPr="00327022">
        <w:rPr>
          <w:rFonts w:ascii="Times New Roman" w:hAnsi="Times New Roman" w:cs="Times New Roman"/>
          <w:sz w:val="36"/>
          <w:szCs w:val="36"/>
        </w:rPr>
        <w:t>.</w:t>
      </w:r>
    </w:p>
    <w:p w14:paraId="7EB88380"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 xml:space="preserve">Château de </w:t>
      </w:r>
      <w:proofErr w:type="spellStart"/>
      <w:r w:rsidRPr="00327022">
        <w:rPr>
          <w:rFonts w:ascii="Times New Roman" w:hAnsi="Times New Roman" w:cs="Times New Roman"/>
          <w:b/>
          <w:bCs/>
          <w:sz w:val="36"/>
          <w:szCs w:val="36"/>
        </w:rPr>
        <w:t>Beaucastel</w:t>
      </w:r>
      <w:proofErr w:type="spellEnd"/>
      <w:r w:rsidRPr="00327022">
        <w:rPr>
          <w:rFonts w:ascii="Times New Roman" w:hAnsi="Times New Roman" w:cs="Times New Roman"/>
          <w:b/>
          <w:bCs/>
          <w:sz w:val="36"/>
          <w:szCs w:val="36"/>
        </w:rPr>
        <w:t xml:space="preserve"> (Châteauneuf-du-Pape)</w:t>
      </w:r>
    </w:p>
    <w:p w14:paraId="0799B96B"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A leading estate known for </w:t>
      </w:r>
      <w:r w:rsidRPr="00327022">
        <w:rPr>
          <w:rFonts w:ascii="Times New Roman" w:hAnsi="Times New Roman" w:cs="Times New Roman"/>
          <w:b/>
          <w:bCs/>
          <w:sz w:val="36"/>
          <w:szCs w:val="36"/>
        </w:rPr>
        <w:t>blending all 13 permitted varieties</w:t>
      </w:r>
      <w:r w:rsidRPr="00327022">
        <w:rPr>
          <w:rFonts w:ascii="Times New Roman" w:hAnsi="Times New Roman" w:cs="Times New Roman"/>
          <w:sz w:val="36"/>
          <w:szCs w:val="36"/>
        </w:rPr>
        <w:t xml:space="preserve"> to create complex, long-lived wines.</w:t>
      </w:r>
    </w:p>
    <w:p w14:paraId="2F6AF159"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Key Takeaways for Sommeliers</w:t>
      </w:r>
    </w:p>
    <w:p w14:paraId="34B9B501" w14:textId="77777777" w:rsidR="00327022" w:rsidRPr="00327022" w:rsidRDefault="00327022" w:rsidP="00327022">
      <w:pPr>
        <w:numPr>
          <w:ilvl w:val="0"/>
          <w:numId w:val="12"/>
        </w:numPr>
        <w:rPr>
          <w:rFonts w:ascii="Times New Roman" w:hAnsi="Times New Roman" w:cs="Times New Roman"/>
          <w:sz w:val="36"/>
          <w:szCs w:val="36"/>
        </w:rPr>
      </w:pPr>
      <w:r w:rsidRPr="00327022">
        <w:rPr>
          <w:rFonts w:ascii="Times New Roman" w:hAnsi="Times New Roman" w:cs="Times New Roman"/>
          <w:b/>
          <w:bCs/>
          <w:sz w:val="36"/>
          <w:szCs w:val="36"/>
        </w:rPr>
        <w:t>Northern Rhône Syrah wines are among the finest in the world</w:t>
      </w:r>
      <w:r w:rsidRPr="00327022">
        <w:rPr>
          <w:rFonts w:ascii="Times New Roman" w:hAnsi="Times New Roman" w:cs="Times New Roman"/>
          <w:sz w:val="36"/>
          <w:szCs w:val="36"/>
        </w:rPr>
        <w:t>, offering elegance, spice, and aging potential.</w:t>
      </w:r>
    </w:p>
    <w:p w14:paraId="5361C0C0" w14:textId="77777777" w:rsidR="00327022" w:rsidRPr="00327022" w:rsidRDefault="00327022" w:rsidP="00327022">
      <w:pPr>
        <w:numPr>
          <w:ilvl w:val="0"/>
          <w:numId w:val="12"/>
        </w:numPr>
        <w:rPr>
          <w:rFonts w:ascii="Times New Roman" w:hAnsi="Times New Roman" w:cs="Times New Roman"/>
          <w:sz w:val="36"/>
          <w:szCs w:val="36"/>
        </w:rPr>
      </w:pPr>
      <w:r w:rsidRPr="00327022">
        <w:rPr>
          <w:rFonts w:ascii="Times New Roman" w:hAnsi="Times New Roman" w:cs="Times New Roman"/>
          <w:b/>
          <w:bCs/>
          <w:sz w:val="36"/>
          <w:szCs w:val="36"/>
        </w:rPr>
        <w:t>Southern Rhône wines rely on blending</w:t>
      </w:r>
      <w:r w:rsidRPr="00327022">
        <w:rPr>
          <w:rFonts w:ascii="Times New Roman" w:hAnsi="Times New Roman" w:cs="Times New Roman"/>
          <w:sz w:val="36"/>
          <w:szCs w:val="36"/>
        </w:rPr>
        <w:t xml:space="preserve">, particularly </w:t>
      </w:r>
      <w:r w:rsidRPr="00327022">
        <w:rPr>
          <w:rFonts w:ascii="Times New Roman" w:hAnsi="Times New Roman" w:cs="Times New Roman"/>
          <w:b/>
          <w:bCs/>
          <w:sz w:val="36"/>
          <w:szCs w:val="36"/>
        </w:rPr>
        <w:t>Grenache-based GSM compositions</w:t>
      </w:r>
      <w:r w:rsidRPr="00327022">
        <w:rPr>
          <w:rFonts w:ascii="Times New Roman" w:hAnsi="Times New Roman" w:cs="Times New Roman"/>
          <w:sz w:val="36"/>
          <w:szCs w:val="36"/>
        </w:rPr>
        <w:t>.</w:t>
      </w:r>
    </w:p>
    <w:p w14:paraId="682C7A56" w14:textId="77777777" w:rsidR="00327022" w:rsidRPr="00327022" w:rsidRDefault="00327022" w:rsidP="00327022">
      <w:pPr>
        <w:numPr>
          <w:ilvl w:val="0"/>
          <w:numId w:val="12"/>
        </w:numPr>
        <w:rPr>
          <w:rFonts w:ascii="Times New Roman" w:hAnsi="Times New Roman" w:cs="Times New Roman"/>
          <w:sz w:val="36"/>
          <w:szCs w:val="36"/>
        </w:rPr>
      </w:pPr>
      <w:r w:rsidRPr="00327022">
        <w:rPr>
          <w:rFonts w:ascii="Times New Roman" w:hAnsi="Times New Roman" w:cs="Times New Roman"/>
          <w:b/>
          <w:bCs/>
          <w:sz w:val="36"/>
          <w:szCs w:val="36"/>
        </w:rPr>
        <w:t>The Mistral wind plays a crucial role</w:t>
      </w:r>
      <w:r w:rsidRPr="00327022">
        <w:rPr>
          <w:rFonts w:ascii="Times New Roman" w:hAnsi="Times New Roman" w:cs="Times New Roman"/>
          <w:sz w:val="36"/>
          <w:szCs w:val="36"/>
        </w:rPr>
        <w:t xml:space="preserve"> in shaping the region’s viticulture.</w:t>
      </w:r>
    </w:p>
    <w:p w14:paraId="0D5E275D" w14:textId="77777777" w:rsidR="00327022" w:rsidRPr="00327022" w:rsidRDefault="00327022" w:rsidP="00327022">
      <w:pPr>
        <w:numPr>
          <w:ilvl w:val="0"/>
          <w:numId w:val="12"/>
        </w:numPr>
        <w:rPr>
          <w:rFonts w:ascii="Times New Roman" w:hAnsi="Times New Roman" w:cs="Times New Roman"/>
          <w:sz w:val="36"/>
          <w:szCs w:val="36"/>
        </w:rPr>
      </w:pPr>
      <w:r w:rsidRPr="00327022">
        <w:rPr>
          <w:rFonts w:ascii="Times New Roman" w:hAnsi="Times New Roman" w:cs="Times New Roman"/>
          <w:b/>
          <w:bCs/>
          <w:sz w:val="36"/>
          <w:szCs w:val="36"/>
        </w:rPr>
        <w:t>White Rhône wines, especially Viognier and Marsanne/Roussanne blends, provide rich, aromatic alternatives</w:t>
      </w:r>
      <w:r w:rsidRPr="00327022">
        <w:rPr>
          <w:rFonts w:ascii="Times New Roman" w:hAnsi="Times New Roman" w:cs="Times New Roman"/>
          <w:sz w:val="36"/>
          <w:szCs w:val="36"/>
        </w:rPr>
        <w:t>.</w:t>
      </w:r>
    </w:p>
    <w:p w14:paraId="7018C066" w14:textId="77777777" w:rsidR="00327022" w:rsidRPr="00327022" w:rsidRDefault="00327022" w:rsidP="00327022">
      <w:pPr>
        <w:rPr>
          <w:rFonts w:ascii="Times New Roman" w:hAnsi="Times New Roman" w:cs="Times New Roman"/>
          <w:b/>
          <w:bCs/>
          <w:sz w:val="36"/>
          <w:szCs w:val="36"/>
        </w:rPr>
      </w:pPr>
      <w:r w:rsidRPr="00327022">
        <w:rPr>
          <w:rFonts w:ascii="Times New Roman" w:hAnsi="Times New Roman" w:cs="Times New Roman"/>
          <w:b/>
          <w:bCs/>
          <w:sz w:val="36"/>
          <w:szCs w:val="36"/>
        </w:rPr>
        <w:t>Final Thoughts</w:t>
      </w:r>
    </w:p>
    <w:p w14:paraId="0099E9F1" w14:textId="77777777" w:rsidR="00327022" w:rsidRPr="00327022" w:rsidRDefault="00327022" w:rsidP="00327022">
      <w:pPr>
        <w:rPr>
          <w:rFonts w:ascii="Times New Roman" w:hAnsi="Times New Roman" w:cs="Times New Roman"/>
          <w:sz w:val="36"/>
          <w:szCs w:val="36"/>
        </w:rPr>
      </w:pPr>
      <w:r w:rsidRPr="00327022">
        <w:rPr>
          <w:rFonts w:ascii="Times New Roman" w:hAnsi="Times New Roman" w:cs="Times New Roman"/>
          <w:sz w:val="36"/>
          <w:szCs w:val="36"/>
        </w:rPr>
        <w:t xml:space="preserve">The Rhône Valley’s wines are a </w:t>
      </w:r>
      <w:r w:rsidRPr="00327022">
        <w:rPr>
          <w:rFonts w:ascii="Times New Roman" w:hAnsi="Times New Roman" w:cs="Times New Roman"/>
          <w:b/>
          <w:bCs/>
          <w:sz w:val="36"/>
          <w:szCs w:val="36"/>
        </w:rPr>
        <w:t>testament to the balance of power and finesse</w:t>
      </w:r>
      <w:r w:rsidRPr="00327022">
        <w:rPr>
          <w:rFonts w:ascii="Times New Roman" w:hAnsi="Times New Roman" w:cs="Times New Roman"/>
          <w:sz w:val="36"/>
          <w:szCs w:val="36"/>
        </w:rPr>
        <w:t xml:space="preserve">. Whether it’s the structured </w:t>
      </w:r>
      <w:r w:rsidRPr="00327022">
        <w:rPr>
          <w:rFonts w:ascii="Times New Roman" w:hAnsi="Times New Roman" w:cs="Times New Roman"/>
          <w:b/>
          <w:bCs/>
          <w:sz w:val="36"/>
          <w:szCs w:val="36"/>
        </w:rPr>
        <w:t xml:space="preserve">Syrah of the </w:t>
      </w:r>
      <w:r w:rsidRPr="00327022">
        <w:rPr>
          <w:rFonts w:ascii="Times New Roman" w:hAnsi="Times New Roman" w:cs="Times New Roman"/>
          <w:b/>
          <w:bCs/>
          <w:sz w:val="36"/>
          <w:szCs w:val="36"/>
        </w:rPr>
        <w:lastRenderedPageBreak/>
        <w:t>north</w:t>
      </w:r>
      <w:r w:rsidRPr="00327022">
        <w:rPr>
          <w:rFonts w:ascii="Times New Roman" w:hAnsi="Times New Roman" w:cs="Times New Roman"/>
          <w:sz w:val="36"/>
          <w:szCs w:val="36"/>
        </w:rPr>
        <w:t xml:space="preserve"> or the </w:t>
      </w:r>
      <w:r w:rsidRPr="00327022">
        <w:rPr>
          <w:rFonts w:ascii="Times New Roman" w:hAnsi="Times New Roman" w:cs="Times New Roman"/>
          <w:b/>
          <w:bCs/>
          <w:sz w:val="36"/>
          <w:szCs w:val="36"/>
        </w:rPr>
        <w:t>bold, blended reds of the south</w:t>
      </w:r>
      <w:r w:rsidRPr="00327022">
        <w:rPr>
          <w:rFonts w:ascii="Times New Roman" w:hAnsi="Times New Roman" w:cs="Times New Roman"/>
          <w:sz w:val="36"/>
          <w:szCs w:val="36"/>
        </w:rPr>
        <w:t>, Rhône offers something for every palate. With its rich history and diverse terroir, this region remains an essential study for sommeliers and wine lovers alike.</w:t>
      </w:r>
    </w:p>
    <w:p w14:paraId="3EA98908" w14:textId="77777777" w:rsidR="00327022" w:rsidRPr="00327022" w:rsidRDefault="00327022">
      <w:pPr>
        <w:rPr>
          <w:rFonts w:ascii="Times New Roman" w:hAnsi="Times New Roman" w:cs="Times New Roman"/>
          <w:sz w:val="36"/>
          <w:szCs w:val="36"/>
        </w:rPr>
      </w:pPr>
    </w:p>
    <w:sectPr w:rsidR="00327022" w:rsidRPr="003270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A252" w14:textId="77777777" w:rsidR="007248A7" w:rsidRDefault="007248A7" w:rsidP="003207EF">
      <w:pPr>
        <w:spacing w:after="0" w:line="240" w:lineRule="auto"/>
      </w:pPr>
      <w:r>
        <w:separator/>
      </w:r>
    </w:p>
  </w:endnote>
  <w:endnote w:type="continuationSeparator" w:id="0">
    <w:p w14:paraId="4BE1E055" w14:textId="77777777" w:rsidR="007248A7" w:rsidRDefault="007248A7" w:rsidP="0032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43BE" w14:textId="77777777" w:rsidR="007248A7" w:rsidRDefault="007248A7" w:rsidP="003207EF">
      <w:pPr>
        <w:spacing w:after="0" w:line="240" w:lineRule="auto"/>
      </w:pPr>
      <w:r>
        <w:separator/>
      </w:r>
    </w:p>
  </w:footnote>
  <w:footnote w:type="continuationSeparator" w:id="0">
    <w:p w14:paraId="02D82235" w14:textId="77777777" w:rsidR="007248A7" w:rsidRDefault="007248A7" w:rsidP="00320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BE4"/>
    <w:multiLevelType w:val="multilevel"/>
    <w:tmpl w:val="0EE6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32BE9"/>
    <w:multiLevelType w:val="multilevel"/>
    <w:tmpl w:val="AB26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61160"/>
    <w:multiLevelType w:val="multilevel"/>
    <w:tmpl w:val="6B1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254E9"/>
    <w:multiLevelType w:val="multilevel"/>
    <w:tmpl w:val="6864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B71F5"/>
    <w:multiLevelType w:val="multilevel"/>
    <w:tmpl w:val="26C8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354D2"/>
    <w:multiLevelType w:val="multilevel"/>
    <w:tmpl w:val="A4C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D5844"/>
    <w:multiLevelType w:val="multilevel"/>
    <w:tmpl w:val="0862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06B3A"/>
    <w:multiLevelType w:val="multilevel"/>
    <w:tmpl w:val="AA9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D6C5A"/>
    <w:multiLevelType w:val="multilevel"/>
    <w:tmpl w:val="FF94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96C3D"/>
    <w:multiLevelType w:val="multilevel"/>
    <w:tmpl w:val="5784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6620D"/>
    <w:multiLevelType w:val="multilevel"/>
    <w:tmpl w:val="B986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C5BE8"/>
    <w:multiLevelType w:val="multilevel"/>
    <w:tmpl w:val="16A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695530">
    <w:abstractNumId w:val="5"/>
  </w:num>
  <w:num w:numId="2" w16cid:durableId="360085579">
    <w:abstractNumId w:val="6"/>
  </w:num>
  <w:num w:numId="3" w16cid:durableId="639847959">
    <w:abstractNumId w:val="2"/>
  </w:num>
  <w:num w:numId="4" w16cid:durableId="1915815622">
    <w:abstractNumId w:val="1"/>
  </w:num>
  <w:num w:numId="5" w16cid:durableId="462892073">
    <w:abstractNumId w:val="0"/>
  </w:num>
  <w:num w:numId="6" w16cid:durableId="660931673">
    <w:abstractNumId w:val="10"/>
  </w:num>
  <w:num w:numId="7" w16cid:durableId="1911306986">
    <w:abstractNumId w:val="8"/>
  </w:num>
  <w:num w:numId="8" w16cid:durableId="736904087">
    <w:abstractNumId w:val="7"/>
  </w:num>
  <w:num w:numId="9" w16cid:durableId="781464326">
    <w:abstractNumId w:val="3"/>
  </w:num>
  <w:num w:numId="10" w16cid:durableId="537088628">
    <w:abstractNumId w:val="4"/>
  </w:num>
  <w:num w:numId="11" w16cid:durableId="771974659">
    <w:abstractNumId w:val="11"/>
  </w:num>
  <w:num w:numId="12" w16cid:durableId="1311522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22"/>
    <w:rsid w:val="003207EF"/>
    <w:rsid w:val="00327022"/>
    <w:rsid w:val="007248A7"/>
    <w:rsid w:val="00D337DF"/>
    <w:rsid w:val="00E6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A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0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70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0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0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70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7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0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0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0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0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70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7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022"/>
    <w:rPr>
      <w:rFonts w:eastAsiaTheme="majorEastAsia" w:cstheme="majorBidi"/>
      <w:color w:val="272727" w:themeColor="text1" w:themeTint="D8"/>
    </w:rPr>
  </w:style>
  <w:style w:type="paragraph" w:styleId="Title">
    <w:name w:val="Title"/>
    <w:basedOn w:val="Normal"/>
    <w:next w:val="Normal"/>
    <w:link w:val="TitleChar"/>
    <w:uiPriority w:val="10"/>
    <w:qFormat/>
    <w:rsid w:val="00327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022"/>
    <w:pPr>
      <w:spacing w:before="160"/>
      <w:jc w:val="center"/>
    </w:pPr>
    <w:rPr>
      <w:i/>
      <w:iCs/>
      <w:color w:val="404040" w:themeColor="text1" w:themeTint="BF"/>
    </w:rPr>
  </w:style>
  <w:style w:type="character" w:customStyle="1" w:styleId="QuoteChar">
    <w:name w:val="Quote Char"/>
    <w:basedOn w:val="DefaultParagraphFont"/>
    <w:link w:val="Quote"/>
    <w:uiPriority w:val="29"/>
    <w:rsid w:val="00327022"/>
    <w:rPr>
      <w:i/>
      <w:iCs/>
      <w:color w:val="404040" w:themeColor="text1" w:themeTint="BF"/>
    </w:rPr>
  </w:style>
  <w:style w:type="paragraph" w:styleId="ListParagraph">
    <w:name w:val="List Paragraph"/>
    <w:basedOn w:val="Normal"/>
    <w:uiPriority w:val="34"/>
    <w:qFormat/>
    <w:rsid w:val="00327022"/>
    <w:pPr>
      <w:ind w:left="720"/>
      <w:contextualSpacing/>
    </w:pPr>
  </w:style>
  <w:style w:type="character" w:styleId="IntenseEmphasis">
    <w:name w:val="Intense Emphasis"/>
    <w:basedOn w:val="DefaultParagraphFont"/>
    <w:uiPriority w:val="21"/>
    <w:qFormat/>
    <w:rsid w:val="00327022"/>
    <w:rPr>
      <w:i/>
      <w:iCs/>
      <w:color w:val="2F5496" w:themeColor="accent1" w:themeShade="BF"/>
    </w:rPr>
  </w:style>
  <w:style w:type="paragraph" w:styleId="IntenseQuote">
    <w:name w:val="Intense Quote"/>
    <w:basedOn w:val="Normal"/>
    <w:next w:val="Normal"/>
    <w:link w:val="IntenseQuoteChar"/>
    <w:uiPriority w:val="30"/>
    <w:qFormat/>
    <w:rsid w:val="00327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022"/>
    <w:rPr>
      <w:i/>
      <w:iCs/>
      <w:color w:val="2F5496" w:themeColor="accent1" w:themeShade="BF"/>
    </w:rPr>
  </w:style>
  <w:style w:type="character" w:styleId="IntenseReference">
    <w:name w:val="Intense Reference"/>
    <w:basedOn w:val="DefaultParagraphFont"/>
    <w:uiPriority w:val="32"/>
    <w:qFormat/>
    <w:rsid w:val="00327022"/>
    <w:rPr>
      <w:b/>
      <w:bCs/>
      <w:smallCaps/>
      <w:color w:val="2F5496" w:themeColor="accent1" w:themeShade="BF"/>
      <w:spacing w:val="5"/>
    </w:rPr>
  </w:style>
  <w:style w:type="paragraph" w:styleId="Header">
    <w:name w:val="header"/>
    <w:basedOn w:val="Normal"/>
    <w:link w:val="HeaderChar"/>
    <w:uiPriority w:val="99"/>
    <w:unhideWhenUsed/>
    <w:rsid w:val="00320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EF"/>
  </w:style>
  <w:style w:type="paragraph" w:styleId="Footer">
    <w:name w:val="footer"/>
    <w:basedOn w:val="Normal"/>
    <w:link w:val="FooterChar"/>
    <w:uiPriority w:val="99"/>
    <w:unhideWhenUsed/>
    <w:rsid w:val="00320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0008">
      <w:bodyDiv w:val="1"/>
      <w:marLeft w:val="0"/>
      <w:marRight w:val="0"/>
      <w:marTop w:val="0"/>
      <w:marBottom w:val="0"/>
      <w:divBdr>
        <w:top w:val="none" w:sz="0" w:space="0" w:color="auto"/>
        <w:left w:val="none" w:sz="0" w:space="0" w:color="auto"/>
        <w:bottom w:val="none" w:sz="0" w:space="0" w:color="auto"/>
        <w:right w:val="none" w:sz="0" w:space="0" w:color="auto"/>
      </w:divBdr>
    </w:div>
    <w:div w:id="1681003156">
      <w:bodyDiv w:val="1"/>
      <w:marLeft w:val="0"/>
      <w:marRight w:val="0"/>
      <w:marTop w:val="0"/>
      <w:marBottom w:val="0"/>
      <w:divBdr>
        <w:top w:val="none" w:sz="0" w:space="0" w:color="auto"/>
        <w:left w:val="none" w:sz="0" w:space="0" w:color="auto"/>
        <w:bottom w:val="none" w:sz="0" w:space="0" w:color="auto"/>
        <w:right w:val="none" w:sz="0" w:space="0" w:color="auto"/>
      </w:divBdr>
    </w:div>
    <w:div w:id="1771781282">
      <w:bodyDiv w:val="1"/>
      <w:marLeft w:val="0"/>
      <w:marRight w:val="0"/>
      <w:marTop w:val="0"/>
      <w:marBottom w:val="0"/>
      <w:divBdr>
        <w:top w:val="none" w:sz="0" w:space="0" w:color="auto"/>
        <w:left w:val="none" w:sz="0" w:space="0" w:color="auto"/>
        <w:bottom w:val="none" w:sz="0" w:space="0" w:color="auto"/>
        <w:right w:val="none" w:sz="0" w:space="0" w:color="auto"/>
      </w:divBdr>
    </w:div>
    <w:div w:id="20550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2025-05-13T21:41:00Z</dcterms:created>
  <dcterms:modified xsi:type="dcterms:W3CDTF">2025-05-13T21:41:00Z</dcterms:modified>
</cp:coreProperties>
</file>