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82BF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b/>
          <w:bCs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b/>
          <w:bCs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b/>
          <w:bCs/>
          <w:sz w:val="32"/>
          <w:szCs w:val="32"/>
        </w:rPr>
        <w:t xml:space="preserve">: Spain’s Premier </w:t>
      </w:r>
      <w:proofErr w:type="spellStart"/>
      <w:r w:rsidRPr="001A1C62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b/>
          <w:bCs/>
          <w:sz w:val="32"/>
          <w:szCs w:val="32"/>
        </w:rPr>
        <w:t xml:space="preserve"> Region</w:t>
      </w:r>
    </w:p>
    <w:p w14:paraId="0382B255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48000B4B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, located in northwestern Spain’s Galicia region, is Spain’s leading white wine-producing area. Situated along the Atlantic coast, the region follows the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(coastal inlets) and spans the provinces of Pontevedra and A Coruña, bordering Portugal to the south. The region’s proximity to the ocean plays a defining role in shaping its wines.</w:t>
      </w:r>
    </w:p>
    <w:p w14:paraId="44BE20BA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experiences an Atlantic climate, characterized by high rainfall, mild temperatures, and persistent humidity. This maritime influence gives wines high acidity, freshness, and saline minerality. The region’s soils are predominantly granite-based, with some sandy and schist deposits, enhancing the wines’ mineral complexity.</w:t>
      </w:r>
    </w:p>
    <w:p w14:paraId="4CFA494D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Denominación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de Origen (DO)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was officially recognized in 1988, though winemaking traditions date back to Roman times. While historically a mixed-crop agricultural area, the rise of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as Spain’s most celebrated white grape has propelled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to international prominence.</w:t>
      </w:r>
    </w:p>
    <w:p w14:paraId="38DADE9F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The DO is divided into five sub-zones, each with distinct terroirs:</w:t>
      </w:r>
    </w:p>
    <w:p w14:paraId="3F9B56D3" w14:textId="77777777" w:rsidR="001A1C62" w:rsidRPr="001A1C62" w:rsidRDefault="001A1C62" w:rsidP="001A1C6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Val 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Salnés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The largest and most famous sub-zone, known for high-acid, mineral-driven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wines.</w:t>
      </w:r>
    </w:p>
    <w:p w14:paraId="455EA70E" w14:textId="77777777" w:rsidR="001A1C62" w:rsidRPr="001A1C62" w:rsidRDefault="001A1C62" w:rsidP="001A1C6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Condado do Tea – Warmer and drier, producing fuller-bodied whites with tropical fruit notes.</w:t>
      </w:r>
    </w:p>
    <w:p w14:paraId="5B3BAC16" w14:textId="77777777" w:rsidR="001A1C62" w:rsidRPr="001A1C62" w:rsidRDefault="001A1C62" w:rsidP="001A1C6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O Rosal – Located near the Miño River, known for floral and elegant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-based blends.</w:t>
      </w:r>
    </w:p>
    <w:p w14:paraId="1B45A654" w14:textId="77777777" w:rsidR="001A1C62" w:rsidRPr="001A1C62" w:rsidRDefault="001A1C62" w:rsidP="001A1C6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Ribeira do Ulla – A newer, cooler inland sub-zone, yielding zesty, fresh whites.</w:t>
      </w:r>
    </w:p>
    <w:p w14:paraId="5A0AB24A" w14:textId="77777777" w:rsidR="001A1C62" w:rsidRPr="001A1C62" w:rsidRDefault="001A1C62" w:rsidP="001A1C6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lastRenderedPageBreak/>
        <w:t xml:space="preserve">Soutomaior – The smallest sub-zone, producing limited quantities of mineral-driven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6766AF8D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A key feature of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is the pergola trellising system, designed to maximize air circulation and minimize disease pressure in the humid climate.</w:t>
      </w:r>
    </w:p>
    <w:p w14:paraId="696998ED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52BEC136">
          <v:rect id="_x0000_i1169" style="width:0;height:1.5pt" o:hralign="center" o:hrstd="t" o:hr="t" fillcolor="#a0a0a0" stroked="f"/>
        </w:pict>
      </w:r>
    </w:p>
    <w:p w14:paraId="131C9ABC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4B68E195" w14:textId="77777777" w:rsidR="001A1C62" w:rsidRPr="001A1C62" w:rsidRDefault="001A1C62" w:rsidP="001A1C62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11A2EF51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The region’s flagship grape, producing aromatic, high-acid wines with citrus, peach, and saline notes.</w:t>
      </w:r>
    </w:p>
    <w:p w14:paraId="32C3B644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Loureira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Adds floral and herbal aromas, often blended for complexity.</w:t>
      </w:r>
    </w:p>
    <w:p w14:paraId="19341F41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Treixadura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Enhances body and richness in blends.</w:t>
      </w:r>
    </w:p>
    <w:p w14:paraId="7F9FBE33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Caiño</w:t>
      </w:r>
      <w:proofErr w:type="spellEnd"/>
      <w:r w:rsidRPr="001A1C62">
        <w:rPr>
          <w:rFonts w:ascii="Times New Roman" w:hAnsi="Times New Roman" w:cs="Times New Roman"/>
          <w:i/>
          <w:iCs/>
          <w:sz w:val="32"/>
          <w:szCs w:val="32"/>
        </w:rPr>
        <w:t xml:space="preserve"> Blanco</w:t>
      </w:r>
      <w:r w:rsidRPr="001A1C62">
        <w:rPr>
          <w:rFonts w:ascii="Times New Roman" w:hAnsi="Times New Roman" w:cs="Times New Roman"/>
          <w:sz w:val="32"/>
          <w:szCs w:val="32"/>
        </w:rPr>
        <w:t xml:space="preserve"> – A rare variety contributing minerality and acidity.</w:t>
      </w:r>
    </w:p>
    <w:p w14:paraId="2E50B692" w14:textId="77777777" w:rsidR="001A1C62" w:rsidRPr="001A1C62" w:rsidRDefault="001A1C62" w:rsidP="001A1C62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6978C53F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Caiño</w:t>
      </w:r>
      <w:proofErr w:type="spellEnd"/>
      <w:r w:rsidRPr="001A1C62">
        <w:rPr>
          <w:rFonts w:ascii="Times New Roman" w:hAnsi="Times New Roman" w:cs="Times New Roman"/>
          <w:i/>
          <w:iCs/>
          <w:sz w:val="32"/>
          <w:szCs w:val="32"/>
        </w:rPr>
        <w:t xml:space="preserve"> Tinto</w:t>
      </w:r>
      <w:r w:rsidRPr="001A1C62">
        <w:rPr>
          <w:rFonts w:ascii="Times New Roman" w:hAnsi="Times New Roman" w:cs="Times New Roman"/>
          <w:sz w:val="32"/>
          <w:szCs w:val="32"/>
        </w:rPr>
        <w:t xml:space="preserve"> – Produces fresh, light-bodied reds with red berry and floral notes.</w:t>
      </w:r>
    </w:p>
    <w:p w14:paraId="5933E34B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Sousón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Adds depth and structure to red blends.</w:t>
      </w:r>
    </w:p>
    <w:p w14:paraId="36A3932E" w14:textId="77777777" w:rsidR="001A1C62" w:rsidRPr="001A1C62" w:rsidRDefault="001A1C62" w:rsidP="001A1C62">
      <w:pPr>
        <w:numPr>
          <w:ilvl w:val="1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Espadeiro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Known for bright acidity and vibrant fruit flavors.</w:t>
      </w:r>
    </w:p>
    <w:p w14:paraId="3C522ADF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dominates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, accounting for over 90% of plantings, making it Spain’s benchmark white grape variety.</w:t>
      </w:r>
    </w:p>
    <w:p w14:paraId="37437AB7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7B072109">
          <v:rect id="_x0000_i1170" style="width:0;height:1.5pt" o:hralign="center" o:hrstd="t" o:hr="t" fillcolor="#a0a0a0" stroked="f"/>
        </w:pict>
      </w:r>
    </w:p>
    <w:p w14:paraId="32C77FD2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lastRenderedPageBreak/>
        <w:t>Wine Classification System</w:t>
      </w:r>
    </w:p>
    <w:p w14:paraId="2A7F5DC1" w14:textId="77777777" w:rsidR="001A1C62" w:rsidRPr="001A1C62" w:rsidRDefault="001A1C62" w:rsidP="001A1C62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: The overarching designation ensuring quality and typicity.</w:t>
      </w:r>
    </w:p>
    <w:p w14:paraId="733C6D02" w14:textId="77777777" w:rsidR="001A1C62" w:rsidRPr="001A1C62" w:rsidRDefault="001A1C62" w:rsidP="001A1C62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Single-Vineyard Wines: While not officially classified, some producers highlight specific terroirs.</w:t>
      </w:r>
    </w:p>
    <w:p w14:paraId="702ED2E5" w14:textId="77777777" w:rsidR="001A1C62" w:rsidRPr="001A1C62" w:rsidRDefault="001A1C62" w:rsidP="001A1C62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Appellation Structure: The region is divided into five sub-zones, each with distinct terroir expressions.</w:t>
      </w:r>
    </w:p>
    <w:p w14:paraId="4F5D8E0E" w14:textId="77777777" w:rsidR="001A1C62" w:rsidRPr="001A1C62" w:rsidRDefault="001A1C62" w:rsidP="001A1C62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Special Classifications: Some wines are labeled Vinos de Finca (estate-grown) to emphasize terroir.</w:t>
      </w:r>
    </w:p>
    <w:p w14:paraId="531F9A75" w14:textId="77777777" w:rsidR="001A1C62" w:rsidRPr="001A1C62" w:rsidRDefault="001A1C62" w:rsidP="001A1C62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Sub-Regional Distinctions: Coastal sub-zones produce saline, high-acid wines, while inland areas yield rounder, fruitier styles.</w:t>
      </w:r>
    </w:p>
    <w:p w14:paraId="7E755F81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5B8B501A">
          <v:rect id="_x0000_i1171" style="width:0;height:1.5pt" o:hralign="center" o:hrstd="t" o:hr="t" fillcolor="#a0a0a0" stroked="f"/>
        </w:pict>
      </w:r>
    </w:p>
    <w:p w14:paraId="77DDD25E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13DC5FC1" w14:textId="77777777" w:rsidR="001A1C62" w:rsidRPr="001A1C62" w:rsidRDefault="001A1C62" w:rsidP="001A1C62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The Classic White</w:t>
      </w:r>
    </w:p>
    <w:p w14:paraId="08522F7B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Classification Level:</w:t>
      </w:r>
      <w:r w:rsidRPr="001A1C62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53F43648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Composition:</w:t>
      </w:r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1C62">
        <w:rPr>
          <w:rFonts w:ascii="Times New Roman" w:hAnsi="Times New Roman" w:cs="Times New Roman"/>
          <w:sz w:val="32"/>
          <w:szCs w:val="32"/>
        </w:rPr>
        <w:t>Typically</w:t>
      </w:r>
      <w:proofErr w:type="gramEnd"/>
      <w:r w:rsidRPr="001A1C62">
        <w:rPr>
          <w:rFonts w:ascii="Times New Roman" w:hAnsi="Times New Roman" w:cs="Times New Roman"/>
          <w:sz w:val="32"/>
          <w:szCs w:val="32"/>
        </w:rPr>
        <w:t xml:space="preserve"> 100%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, though some are blended with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Loureira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Treixadura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5AD355A0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Production Method:</w:t>
      </w:r>
      <w:r w:rsidRPr="001A1C62">
        <w:rPr>
          <w:rFonts w:ascii="Times New Roman" w:hAnsi="Times New Roman" w:cs="Times New Roman"/>
          <w:sz w:val="32"/>
          <w:szCs w:val="32"/>
        </w:rPr>
        <w:t xml:space="preserve"> Stainless steel fermentation to preserve freshness.</w:t>
      </w:r>
    </w:p>
    <w:p w14:paraId="7888C36C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Aging Requirements:</w:t>
      </w:r>
      <w:r w:rsidRPr="001A1C62">
        <w:rPr>
          <w:rFonts w:ascii="Times New Roman" w:hAnsi="Times New Roman" w:cs="Times New Roman"/>
          <w:sz w:val="32"/>
          <w:szCs w:val="32"/>
        </w:rPr>
        <w:t xml:space="preserve"> Usually unoaked, but some producers use lees aging for texture.</w:t>
      </w:r>
    </w:p>
    <w:p w14:paraId="31BE0072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Organoleptic Profile:</w:t>
      </w:r>
      <w:r w:rsidRPr="001A1C62">
        <w:rPr>
          <w:rFonts w:ascii="Times New Roman" w:hAnsi="Times New Roman" w:cs="Times New Roman"/>
          <w:sz w:val="32"/>
          <w:szCs w:val="32"/>
        </w:rPr>
        <w:t xml:space="preserve"> Bright acidity, citrus, green apple, peach, and saline notes.</w:t>
      </w:r>
    </w:p>
    <w:p w14:paraId="6123D2C7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Food Pairing:</w:t>
      </w:r>
      <w:r w:rsidRPr="001A1C62">
        <w:rPr>
          <w:rFonts w:ascii="Times New Roman" w:hAnsi="Times New Roman" w:cs="Times New Roman"/>
          <w:sz w:val="32"/>
          <w:szCs w:val="32"/>
        </w:rPr>
        <w:t xml:space="preserve"> Ideal with seafood, shellfish, and light tapas.</w:t>
      </w:r>
    </w:p>
    <w:p w14:paraId="365A136E" w14:textId="77777777" w:rsidR="001A1C62" w:rsidRPr="001A1C62" w:rsidRDefault="001A1C62" w:rsidP="001A1C62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lastRenderedPageBreak/>
        <w:t>Blended White Wines – Elegant and Aromatic</w:t>
      </w:r>
    </w:p>
    <w:p w14:paraId="38A83575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Classification Level:</w:t>
      </w:r>
      <w:r w:rsidRPr="001A1C62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2817A2D2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Composition:</w:t>
      </w:r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blended with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Loureira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Treixadura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, or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Caiño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Blanco.</w:t>
      </w:r>
    </w:p>
    <w:p w14:paraId="2DCE198C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Organoleptic Profile:</w:t>
      </w:r>
      <w:r w:rsidRPr="001A1C62">
        <w:rPr>
          <w:rFonts w:ascii="Times New Roman" w:hAnsi="Times New Roman" w:cs="Times New Roman"/>
          <w:sz w:val="32"/>
          <w:szCs w:val="32"/>
        </w:rPr>
        <w:t xml:space="preserve"> Floral, aromatic, with a richer mouthfeel compared to single-varietal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56B6DFBB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Food Pairing:</w:t>
      </w:r>
      <w:r w:rsidRPr="001A1C62">
        <w:rPr>
          <w:rFonts w:ascii="Times New Roman" w:hAnsi="Times New Roman" w:cs="Times New Roman"/>
          <w:sz w:val="32"/>
          <w:szCs w:val="32"/>
        </w:rPr>
        <w:t xml:space="preserve"> Complements white fish, grilled vegetables, and mild cheeses.</w:t>
      </w:r>
    </w:p>
    <w:p w14:paraId="40B1FAE6" w14:textId="77777777" w:rsidR="001A1C62" w:rsidRPr="001A1C62" w:rsidRDefault="001A1C62" w:rsidP="001A1C62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Rosé and Red Wines – A Niche Category</w:t>
      </w:r>
    </w:p>
    <w:p w14:paraId="06F32DF6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Classification Level:</w:t>
      </w:r>
      <w:r w:rsidRPr="001A1C62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3A36F921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Composition:</w:t>
      </w:r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Caiño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Tinto,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Sousón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Espadeiro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6A003AC2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Organoleptic Profile:</w:t>
      </w:r>
      <w:r w:rsidRPr="001A1C62">
        <w:rPr>
          <w:rFonts w:ascii="Times New Roman" w:hAnsi="Times New Roman" w:cs="Times New Roman"/>
          <w:sz w:val="32"/>
          <w:szCs w:val="32"/>
        </w:rPr>
        <w:t xml:space="preserve"> Light, fresh, with bright red fruit and floral tones.</w:t>
      </w:r>
    </w:p>
    <w:p w14:paraId="25DB012A" w14:textId="77777777" w:rsidR="001A1C62" w:rsidRPr="001A1C62" w:rsidRDefault="001A1C62" w:rsidP="001A1C62">
      <w:pPr>
        <w:numPr>
          <w:ilvl w:val="1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Food Pairing:</w:t>
      </w:r>
      <w:r w:rsidRPr="001A1C62">
        <w:rPr>
          <w:rFonts w:ascii="Times New Roman" w:hAnsi="Times New Roman" w:cs="Times New Roman"/>
          <w:sz w:val="32"/>
          <w:szCs w:val="32"/>
        </w:rPr>
        <w:t xml:space="preserve"> Best with charcuterie, grilled poultry, and Galician cuisine.</w:t>
      </w:r>
    </w:p>
    <w:p w14:paraId="5DC8762F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0A8CDCC6">
          <v:rect id="_x0000_i1172" style="width:0;height:1.5pt" o:hralign="center" o:hrstd="t" o:hr="t" fillcolor="#a0a0a0" stroked="f"/>
        </w:pict>
      </w:r>
    </w:p>
    <w:p w14:paraId="6E6ABF50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Notable Wineries</w:t>
      </w:r>
    </w:p>
    <w:p w14:paraId="103A62E4" w14:textId="77777777" w:rsidR="001A1C62" w:rsidRPr="001A1C62" w:rsidRDefault="001A1C62" w:rsidP="001A1C62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 xml:space="preserve">Pazo de </w:t>
      </w: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Señorans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A benchmark producer known for age-worthy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wines.</w:t>
      </w:r>
    </w:p>
    <w:p w14:paraId="2AF07E00" w14:textId="77777777" w:rsidR="001A1C62" w:rsidRPr="001A1C62" w:rsidRDefault="001A1C62" w:rsidP="001A1C62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 xml:space="preserve">Martín </w:t>
      </w: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Códax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One of the most internationally recognized wineries of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.</w:t>
      </w:r>
    </w:p>
    <w:p w14:paraId="671E902D" w14:textId="77777777" w:rsidR="001A1C62" w:rsidRPr="001A1C62" w:rsidRDefault="001A1C62" w:rsidP="001A1C62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Bodegas Terras Gauda</w:t>
      </w:r>
      <w:r w:rsidRPr="001A1C62">
        <w:rPr>
          <w:rFonts w:ascii="Times New Roman" w:hAnsi="Times New Roman" w:cs="Times New Roman"/>
          <w:sz w:val="32"/>
          <w:szCs w:val="32"/>
        </w:rPr>
        <w:t xml:space="preserve"> – Specializing in complex, blended whites.</w:t>
      </w:r>
    </w:p>
    <w:p w14:paraId="1A8E07CF" w14:textId="77777777" w:rsidR="001A1C62" w:rsidRPr="001A1C62" w:rsidRDefault="001A1C62" w:rsidP="001A1C62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proofErr w:type="spellStart"/>
      <w:r w:rsidRPr="001A1C62">
        <w:rPr>
          <w:rFonts w:ascii="Times New Roman" w:hAnsi="Times New Roman" w:cs="Times New Roman"/>
          <w:i/>
          <w:iCs/>
          <w:sz w:val="32"/>
          <w:szCs w:val="32"/>
        </w:rPr>
        <w:t>Fefiñanes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Among the oldest producers, with historic vineyard sites.</w:t>
      </w:r>
    </w:p>
    <w:p w14:paraId="55CE5488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lastRenderedPageBreak/>
        <w:pict w14:anchorId="58FE5DE9">
          <v:rect id="_x0000_i1173" style="width:0;height:1.5pt" o:hralign="center" o:hrstd="t" o:hr="t" fillcolor="#a0a0a0" stroked="f"/>
        </w:pict>
      </w:r>
    </w:p>
    <w:p w14:paraId="678DD86B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47B47A1B" w14:textId="77777777" w:rsidR="001A1C62" w:rsidRPr="001A1C62" w:rsidRDefault="001A1C62" w:rsidP="001A1C62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Recent Developments:</w:t>
      </w:r>
      <w:r w:rsidRPr="001A1C62">
        <w:rPr>
          <w:rFonts w:ascii="Times New Roman" w:hAnsi="Times New Roman" w:cs="Times New Roman"/>
          <w:sz w:val="32"/>
          <w:szCs w:val="32"/>
        </w:rPr>
        <w:t xml:space="preserve"> Rising interest in aged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and oak-fermented expressions.</w:t>
      </w:r>
    </w:p>
    <w:p w14:paraId="71BD3399" w14:textId="77777777" w:rsidR="001A1C62" w:rsidRPr="001A1C62" w:rsidRDefault="001A1C62" w:rsidP="001A1C62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Historical Evolution:</w:t>
      </w:r>
      <w:r w:rsidRPr="001A1C62">
        <w:rPr>
          <w:rFonts w:ascii="Times New Roman" w:hAnsi="Times New Roman" w:cs="Times New Roman"/>
          <w:sz w:val="32"/>
          <w:szCs w:val="32"/>
        </w:rPr>
        <w:t xml:space="preserve"> From a small local industry to Spain’s premier white wine region.</w:t>
      </w:r>
    </w:p>
    <w:p w14:paraId="027173F7" w14:textId="77777777" w:rsidR="001A1C62" w:rsidRPr="001A1C62" w:rsidRDefault="001A1C62" w:rsidP="001A1C62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i/>
          <w:iCs/>
          <w:sz w:val="32"/>
          <w:szCs w:val="32"/>
        </w:rPr>
        <w:t>Food Pairing Notes:</w:t>
      </w:r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pairs exceptionally well with seafood-driven cuisine, while red wines suit grilled meats.</w:t>
      </w:r>
    </w:p>
    <w:p w14:paraId="557A761D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3165A683">
          <v:rect id="_x0000_i1174" style="width:0;height:1.5pt" o:hralign="center" o:hrstd="t" o:hr="t" fillcolor="#a0a0a0" stroked="f"/>
        </w:pict>
      </w:r>
    </w:p>
    <w:p w14:paraId="561216E5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Key Takeaways for Sommeliers</w:t>
      </w:r>
    </w:p>
    <w:p w14:paraId="0F05304D" w14:textId="77777777" w:rsidR="001A1C62" w:rsidRPr="001A1C62" w:rsidRDefault="001A1C62" w:rsidP="001A1C62">
      <w:pPr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is Spain’s premier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>-producing region, known for fresh, mineral-driven whites.</w:t>
      </w:r>
    </w:p>
    <w:p w14:paraId="551ABD08" w14:textId="77777777" w:rsidR="001A1C62" w:rsidRPr="001A1C62" w:rsidRDefault="001A1C62" w:rsidP="001A1C62">
      <w:pPr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The region’s Atlantic climate and granite soils shape its wines’ high acidity and salinity.</w:t>
      </w:r>
    </w:p>
    <w:p w14:paraId="7DD2CB8C" w14:textId="77777777" w:rsidR="001A1C62" w:rsidRPr="001A1C62" w:rsidRDefault="001A1C62" w:rsidP="001A1C62">
      <w:pPr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The pergola training system is a distinctive feature, aiding in disease prevention.</w:t>
      </w:r>
    </w:p>
    <w:p w14:paraId="1AD7AC6D" w14:textId="77777777" w:rsidR="001A1C62" w:rsidRPr="001A1C62" w:rsidRDefault="001A1C62" w:rsidP="001A1C62">
      <w:pPr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Coastal wines tend to be crisper and saline-driven, while inland styles are rounder and fruitier.</w:t>
      </w:r>
    </w:p>
    <w:p w14:paraId="5EFEA118" w14:textId="77777777" w:rsidR="001A1C62" w:rsidRPr="001A1C62" w:rsidRDefault="001A1C62" w:rsidP="001A1C62">
      <w:pPr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Though primarily a white wine region, red and rosé wines are an emerging niche.</w:t>
      </w:r>
    </w:p>
    <w:p w14:paraId="69770B34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23B1B487">
          <v:rect id="_x0000_i1175" style="width:0;height:1.5pt" o:hralign="center" o:hrstd="t" o:hr="t" fillcolor="#a0a0a0" stroked="f"/>
        </w:pict>
      </w:r>
    </w:p>
    <w:p w14:paraId="16F5C2E7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</w:p>
    <w:p w14:paraId="6D42D8CE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represents the pinnacle of Spanish white winemaking, offering wines that are vibrant, food-friendly, and expressive of their maritime terroir. With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at the forefront, the region continues to </w:t>
      </w:r>
      <w:r w:rsidRPr="001A1C62">
        <w:rPr>
          <w:rFonts w:ascii="Times New Roman" w:hAnsi="Times New Roman" w:cs="Times New Roman"/>
          <w:sz w:val="32"/>
          <w:szCs w:val="32"/>
        </w:rPr>
        <w:lastRenderedPageBreak/>
        <w:t xml:space="preserve">innovate while maintaining its deep-rooted traditions. Sommeliers should consider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an essential reference point for Spanish white wines and an ideal pairing for seafood-driven cuisine.</w:t>
      </w:r>
    </w:p>
    <w:p w14:paraId="38843C37" w14:textId="77777777" w:rsidR="001A1C62" w:rsidRPr="001A1C62" w:rsidRDefault="001A1C62" w:rsidP="001A1C62">
      <w:p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pict w14:anchorId="736756B6">
          <v:rect id="_x0000_i1176" style="width:0;height:1.5pt" o:hralign="center" o:hrstd="t" o:hr="t" fillcolor="#a0a0a0" stroked="f"/>
        </w:pict>
      </w:r>
    </w:p>
    <w:p w14:paraId="4406DAAE" w14:textId="77777777" w:rsidR="001A1C62" w:rsidRPr="001A1C62" w:rsidRDefault="001A1C62" w:rsidP="001A1C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C62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560010BD" w14:textId="77777777" w:rsidR="001A1C62" w:rsidRPr="001A1C62" w:rsidRDefault="001A1C62" w:rsidP="001A1C62">
      <w:pPr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Consejo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Regulador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de la DO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– www.doriasbaixas.com</w:t>
      </w:r>
    </w:p>
    <w:p w14:paraId="5B8F0018" w14:textId="77777777" w:rsidR="001A1C62" w:rsidRPr="001A1C62" w:rsidRDefault="001A1C62" w:rsidP="001A1C62">
      <w:pPr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Ministry of Agriculture, Fisheries, and Food of Spain – www.mapa.gob.es</w:t>
      </w:r>
    </w:p>
    <w:p w14:paraId="180385F8" w14:textId="77777777" w:rsidR="001A1C62" w:rsidRPr="001A1C62" w:rsidRDefault="001A1C62" w:rsidP="001A1C62">
      <w:pPr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 xml:space="preserve">Decanter &amp; Wine Spectator Reports on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Rías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1C62">
        <w:rPr>
          <w:rFonts w:ascii="Times New Roman" w:hAnsi="Times New Roman" w:cs="Times New Roman"/>
          <w:sz w:val="32"/>
          <w:szCs w:val="32"/>
        </w:rPr>
        <w:t>Baixas</w:t>
      </w:r>
      <w:proofErr w:type="spellEnd"/>
      <w:r w:rsidRPr="001A1C62">
        <w:rPr>
          <w:rFonts w:ascii="Times New Roman" w:hAnsi="Times New Roman" w:cs="Times New Roman"/>
          <w:sz w:val="32"/>
          <w:szCs w:val="32"/>
        </w:rPr>
        <w:t xml:space="preserve"> Wines</w:t>
      </w:r>
    </w:p>
    <w:p w14:paraId="5A372820" w14:textId="77777777" w:rsidR="001A1C62" w:rsidRPr="001A1C62" w:rsidRDefault="001A1C62" w:rsidP="001A1C62">
      <w:pPr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1A1C62">
        <w:rPr>
          <w:rFonts w:ascii="Times New Roman" w:hAnsi="Times New Roman" w:cs="Times New Roman"/>
          <w:sz w:val="32"/>
          <w:szCs w:val="32"/>
        </w:rPr>
        <w:t>Books: 'The Wines of Spain' by Julian Jeffs &amp; 'Galicia &amp; Its Wines' by Luis Gutiérrez</w:t>
      </w:r>
    </w:p>
    <w:p w14:paraId="3DD9FAD8" w14:textId="77777777" w:rsidR="00520E9A" w:rsidRPr="001A1C62" w:rsidRDefault="00520E9A" w:rsidP="001A1C62"/>
    <w:sectPr w:rsidR="00520E9A" w:rsidRPr="001A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426"/>
    <w:multiLevelType w:val="multilevel"/>
    <w:tmpl w:val="A50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7F61"/>
    <w:multiLevelType w:val="multilevel"/>
    <w:tmpl w:val="DEAA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01487"/>
    <w:multiLevelType w:val="multilevel"/>
    <w:tmpl w:val="8CC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945ED"/>
    <w:multiLevelType w:val="multilevel"/>
    <w:tmpl w:val="93C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13287"/>
    <w:multiLevelType w:val="multilevel"/>
    <w:tmpl w:val="68D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955D0"/>
    <w:multiLevelType w:val="multilevel"/>
    <w:tmpl w:val="CB4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34B85"/>
    <w:multiLevelType w:val="multilevel"/>
    <w:tmpl w:val="023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56354"/>
    <w:multiLevelType w:val="multilevel"/>
    <w:tmpl w:val="C06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06158"/>
    <w:multiLevelType w:val="multilevel"/>
    <w:tmpl w:val="6560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FBD"/>
    <w:multiLevelType w:val="multilevel"/>
    <w:tmpl w:val="13B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D155F"/>
    <w:multiLevelType w:val="multilevel"/>
    <w:tmpl w:val="3622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174A2"/>
    <w:multiLevelType w:val="multilevel"/>
    <w:tmpl w:val="8CF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12DE6"/>
    <w:multiLevelType w:val="multilevel"/>
    <w:tmpl w:val="F51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D51AA"/>
    <w:multiLevelType w:val="multilevel"/>
    <w:tmpl w:val="544E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B21A9"/>
    <w:multiLevelType w:val="multilevel"/>
    <w:tmpl w:val="171C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64300"/>
    <w:multiLevelType w:val="multilevel"/>
    <w:tmpl w:val="554E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515F5"/>
    <w:multiLevelType w:val="multilevel"/>
    <w:tmpl w:val="3D2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65F3E"/>
    <w:multiLevelType w:val="multilevel"/>
    <w:tmpl w:val="1A7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92FA0"/>
    <w:multiLevelType w:val="multilevel"/>
    <w:tmpl w:val="76F4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11E3A"/>
    <w:multiLevelType w:val="multilevel"/>
    <w:tmpl w:val="9E36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03A91"/>
    <w:multiLevelType w:val="multilevel"/>
    <w:tmpl w:val="398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F2626"/>
    <w:multiLevelType w:val="multilevel"/>
    <w:tmpl w:val="51C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37256">
    <w:abstractNumId w:val="18"/>
  </w:num>
  <w:num w:numId="2" w16cid:durableId="371543816">
    <w:abstractNumId w:val="7"/>
  </w:num>
  <w:num w:numId="3" w16cid:durableId="709768569">
    <w:abstractNumId w:val="1"/>
  </w:num>
  <w:num w:numId="4" w16cid:durableId="1151093886">
    <w:abstractNumId w:val="5"/>
  </w:num>
  <w:num w:numId="5" w16cid:durableId="856502149">
    <w:abstractNumId w:val="10"/>
  </w:num>
  <w:num w:numId="6" w16cid:durableId="1291352977">
    <w:abstractNumId w:val="6"/>
  </w:num>
  <w:num w:numId="7" w16cid:durableId="1151826995">
    <w:abstractNumId w:val="14"/>
  </w:num>
  <w:num w:numId="8" w16cid:durableId="1694191319">
    <w:abstractNumId w:val="0"/>
  </w:num>
  <w:num w:numId="9" w16cid:durableId="2017492146">
    <w:abstractNumId w:val="15"/>
  </w:num>
  <w:num w:numId="10" w16cid:durableId="1999917118">
    <w:abstractNumId w:val="11"/>
  </w:num>
  <w:num w:numId="11" w16cid:durableId="1957518254">
    <w:abstractNumId w:val="4"/>
  </w:num>
  <w:num w:numId="12" w16cid:durableId="10378989">
    <w:abstractNumId w:val="20"/>
  </w:num>
  <w:num w:numId="13" w16cid:durableId="1358462573">
    <w:abstractNumId w:val="2"/>
  </w:num>
  <w:num w:numId="14" w16cid:durableId="1572959391">
    <w:abstractNumId w:val="19"/>
  </w:num>
  <w:num w:numId="15" w16cid:durableId="680739971">
    <w:abstractNumId w:val="8"/>
  </w:num>
  <w:num w:numId="16" w16cid:durableId="788430542">
    <w:abstractNumId w:val="12"/>
  </w:num>
  <w:num w:numId="17" w16cid:durableId="1042943141">
    <w:abstractNumId w:val="9"/>
  </w:num>
  <w:num w:numId="18" w16cid:durableId="432748173">
    <w:abstractNumId w:val="21"/>
  </w:num>
  <w:num w:numId="19" w16cid:durableId="1441487488">
    <w:abstractNumId w:val="3"/>
  </w:num>
  <w:num w:numId="20" w16cid:durableId="1166088022">
    <w:abstractNumId w:val="13"/>
  </w:num>
  <w:num w:numId="21" w16cid:durableId="1540700901">
    <w:abstractNumId w:val="17"/>
  </w:num>
  <w:num w:numId="22" w16cid:durableId="754478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9A"/>
    <w:rsid w:val="001A1C62"/>
    <w:rsid w:val="00520E9A"/>
    <w:rsid w:val="005E3AB5"/>
    <w:rsid w:val="007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0AAD"/>
  <w15:chartTrackingRefBased/>
  <w15:docId w15:val="{B80F078E-4F55-42D7-A973-27002AEE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2025-03-03T03:16:00Z</dcterms:created>
  <dcterms:modified xsi:type="dcterms:W3CDTF">2025-03-06T23:56:00Z</dcterms:modified>
</cp:coreProperties>
</file>