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E873" w14:textId="77777777" w:rsidR="00076E89" w:rsidRPr="00076E89" w:rsidRDefault="00076E89" w:rsidP="00076E89">
      <w:pPr>
        <w:ind w:left="0" w:firstLine="0"/>
        <w:jc w:val="center"/>
        <w:rPr>
          <w:rFonts w:asciiTheme="majorBidi" w:hAnsiTheme="majorBidi"/>
          <w:b/>
          <w:bCs/>
          <w:sz w:val="44"/>
          <w:szCs w:val="44"/>
        </w:rPr>
      </w:pPr>
      <w:r w:rsidRPr="00076E89">
        <w:rPr>
          <w:rFonts w:asciiTheme="majorBidi" w:hAnsiTheme="majorBidi" w:cstheme="majorBidi"/>
          <w:b/>
          <w:bCs/>
          <w:sz w:val="44"/>
          <w:szCs w:val="44"/>
        </w:rPr>
        <w:t xml:space="preserve">Pt 3 </w:t>
      </w:r>
      <w:r w:rsidRPr="00076E89">
        <w:rPr>
          <w:rFonts w:asciiTheme="majorBidi" w:hAnsiTheme="majorBidi"/>
          <w:b/>
          <w:bCs/>
          <w:sz w:val="44"/>
          <w:szCs w:val="44"/>
        </w:rPr>
        <w:t>The Fragile Forest Economy</w:t>
      </w:r>
    </w:p>
    <w:p w14:paraId="08938A09" w14:textId="14061300" w:rsidR="00076E89" w:rsidRPr="00076E89" w:rsidRDefault="00076E89" w:rsidP="00076E89">
      <w:pPr>
        <w:ind w:left="0" w:firstLine="0"/>
        <w:jc w:val="center"/>
        <w:rPr>
          <w:rFonts w:asciiTheme="majorBidi" w:hAnsiTheme="majorBidi"/>
          <w:b/>
          <w:bCs/>
          <w:sz w:val="40"/>
          <w:szCs w:val="40"/>
        </w:rPr>
      </w:pPr>
      <w:r w:rsidRPr="00076E89">
        <w:rPr>
          <w:rFonts w:asciiTheme="majorBidi" w:hAnsiTheme="majorBidi"/>
          <w:b/>
          <w:bCs/>
          <w:sz w:val="40"/>
          <w:szCs w:val="40"/>
        </w:rPr>
        <w:t>By Marc Silver</w:t>
      </w:r>
    </w:p>
    <w:p w14:paraId="12E5E138"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Why Tree-Based Systems Are Hard to Replace, and Harder to Fix</w:t>
      </w:r>
    </w:p>
    <w:p w14:paraId="17FDD6F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Tree-based economies rarely collapse in dramatic fashion. They erode. Quietly. Incrementally. Then, once the margin for error is gone, they fail all at once.</w:t>
      </w:r>
    </w:p>
    <w:p w14:paraId="002DAA37"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For much of the modern era, global markets treated coffee, cacao, bananas, rubber, palm oil, and tropical timber as stable inputs. Production expanded. Prices fell. Supply chains tightened. Efficiency was rewarded. The trees kept growing. Only recently has it become clear that the systems supporting them were far less resilient than their output suggested.</w:t>
      </w:r>
    </w:p>
    <w:p w14:paraId="72E7AE95"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What links these crops is not geography alone. It is time.</w:t>
      </w:r>
    </w:p>
    <w:p w14:paraId="3D218995"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Trees lock economic decisions into the future. A coffee farmer planting today is betting on rainfall patterns a decade from now. A rubber plantation reflects assumptions about labor availability, demand, and disease pressure decades ahead. Timber investments stretch even further, committing land and capital across generations. When those assumptions break, the cost of adjustment is not measured in missed quarters, but in lost livelihoods.</w:t>
      </w:r>
    </w:p>
    <w:p w14:paraId="4AA8004E"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That is the quiet vulnerability at the center of tree-based economies.</w:t>
      </w:r>
    </w:p>
    <w:p w14:paraId="2A208EB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0F7800AE">
          <v:rect id="_x0000_i1122" style="width:0;height:1.5pt" o:hralign="center" o:hrstd="t" o:hr="t" fillcolor="#a0a0a0" stroked="f"/>
        </w:pict>
      </w:r>
    </w:p>
    <w:p w14:paraId="3E110A22"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Climate Pressure Is No Longer Theoretical</w:t>
      </w:r>
    </w:p>
    <w:p w14:paraId="2EBE7E8A"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Climate stress on tree crops is no longer a future risk. It is an active constraint.</w:t>
      </w:r>
    </w:p>
    <w:p w14:paraId="5D0932D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In Ethiopia, widely recognized as coffee’s genetic homeland, Arabica production has already begun moving upslope. As average temperatures rise and rainfall becomes less predictable, yields at lower elevations decline. Similar patterns now appear across Central America, where warmer nighttime temperatures have intensified outbreaks of coffee leaf rust, allowing the fungus to spread faster and persist longer.</w:t>
      </w:r>
    </w:p>
    <w:p w14:paraId="44F089F2"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Cacao follows a parallel path. In Ghana and Côte d’Ivoire, which together supply the majority of the world’s cocoa, farmers report higher tree mortality during prolonged dry seasons and weaker pod development during erratic rains. Research by regional agricultural institutes shows optimal cacao zones shifting gradually, often toward protected forest areas where expansion is politically and ecologically constrained.</w:t>
      </w:r>
    </w:p>
    <w:p w14:paraId="5AE8DDF5"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Bananas offer a more abrupt warning. The Cavendish banana’s genetic uniformity allowed Panama disease Tropical Race 4 to spread from Southeast Asia into the Middle East, Africa, and eventually Latin America. Once the fungus establishes itself in soil, it cannot be eradicated. Plantations are abandoned, not replanted. The disease does not respond to market incentives or innovation timelines.</w:t>
      </w:r>
    </w:p>
    <w:p w14:paraId="3297E010"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These pressures are not distant. They are already redrawing the map of where trees can survive at all.</w:t>
      </w:r>
    </w:p>
    <w:p w14:paraId="077B9A6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09BECE7C">
          <v:rect id="_x0000_i1123" style="width:0;height:1.5pt" o:hralign="center" o:hrstd="t" o:hr="t" fillcolor="#a0a0a0" stroked="f"/>
        </w:pict>
      </w:r>
    </w:p>
    <w:p w14:paraId="2BDF6465"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Efficiency Bought Scale, and Sacrificed Resilience</w:t>
      </w:r>
    </w:p>
    <w:p w14:paraId="341B3DA6"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Monoculture did not emerge by accident. It was rewarded.</w:t>
      </w:r>
    </w:p>
    <w:p w14:paraId="1418E3AC"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Uniform trees simplify harvesting, processing, shipping, and marketing. They reduce costs and increase predictability. They also remove biological buffers. When disease arrives, it does not meet resistance.</w:t>
      </w:r>
    </w:p>
    <w:p w14:paraId="19E2F336"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This pattern repeats across tree crops. Cloned bananas. Narrow cacao varietals. Rubber plantations derived from a limited genetic base originally exported from Brazil. The very traits that allowed global scale now amplify vulnerability.</w:t>
      </w:r>
    </w:p>
    <w:p w14:paraId="32991B2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Unlike annual crops, trees cannot be diversified quickly once planted. Rebuilding genetic diversity takes decades, not seasons. During that time, producers absorb the risk.</w:t>
      </w:r>
    </w:p>
    <w:p w14:paraId="36B3C4BE"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Efficiency made tree economies larger. It also made them brittle.</w:t>
      </w:r>
    </w:p>
    <w:p w14:paraId="298F867D"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78041228">
          <v:rect id="_x0000_i1124" style="width:0;height:1.5pt" o:hralign="center" o:hrstd="t" o:hr="t" fillcolor="#a0a0a0" stroked="f"/>
        </w:pict>
      </w:r>
    </w:p>
    <w:p w14:paraId="02273E9C"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Where The Shock Lands</w:t>
      </w:r>
    </w:p>
    <w:p w14:paraId="369987F1"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When prices collapse or harvests fail, the burden falls unevenly.</w:t>
      </w:r>
    </w:p>
    <w:p w14:paraId="3B00F4E8"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In coffee, estimates from export boards and non-governmental organizations consistently show farmers receiving only a small fraction of the final retail price of roasted coffee sold in consuming countries. In cacao, the share is often similar, even during price spikes. Most value accumulates after the crop leaves the farm, in processing, branding, logistics, and retail.</w:t>
      </w:r>
    </w:p>
    <w:p w14:paraId="2EC03648"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A cocoa farmer in western Ghana described the imbalance succinctly during the 2023 price surge. “When prices rise, we hear about it on the radio,” he said. “When they fall, we feel it immediately.”</w:t>
      </w:r>
    </w:p>
    <w:p w14:paraId="1EEF455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Rubber farmers face a similar reality. Latex prices fluctuate with global manufacturing cycles, yet tapping schedules, tree health, and labor costs remain fixed. A bad year cannot be offset by switching crops. Trees do not pause for markets.</w:t>
      </w:r>
    </w:p>
    <w:p w14:paraId="5C44FF7D"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These outcomes are structural, not moral. They reflect how value is created and captured along long supply chains, not individual neglect or intent.</w:t>
      </w:r>
    </w:p>
    <w:p w14:paraId="5E0A3E2B"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4F3981B1">
          <v:rect id="_x0000_i1125" style="width:0;height:1.5pt" o:hralign="center" o:hrstd="t" o:hr="t" fillcolor="#a0a0a0" stroked="f"/>
        </w:pict>
      </w:r>
    </w:p>
    <w:p w14:paraId="49FFD6B4"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Why Reform Moves Slowly</w:t>
      </w:r>
    </w:p>
    <w:p w14:paraId="76DCA47C"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Certification programs, sustainability labels, and direct-trade models have improved transparency and conditions in some regions. They have not transformed the system, largely because tree economies resist rapid change.</w:t>
      </w:r>
    </w:p>
    <w:p w14:paraId="099F14D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Replanting cacao with disease-resistant varieties takes years before yields return. Shifting coffee production uphill requires land access many farmers do not have. Rubber trees cannot be replaced without wiping out decades of sunk investment.</w:t>
      </w:r>
    </w:p>
    <w:p w14:paraId="36F0712D"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Even when better options exist, adoption is constrained by credit access, land tenure, and risk tolerance. A farmer operating at the edge of subsistence cannot easily gamble on long-term improvement without immediate support.</w:t>
      </w:r>
    </w:p>
    <w:p w14:paraId="41328DBC"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The problem is not a lack of ideas. It is the mismatch between biological timelines and economic urgency.</w:t>
      </w:r>
    </w:p>
    <w:p w14:paraId="4B743C97"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6C313233">
          <v:rect id="_x0000_i1126" style="width:0;height:1.5pt" o:hralign="center" o:hrstd="t" o:hr="t" fillcolor="#a0a0a0" stroked="f"/>
        </w:pict>
      </w:r>
    </w:p>
    <w:p w14:paraId="454537C9"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Substitutes Help, But Do Not Solve The Problem</w:t>
      </w:r>
    </w:p>
    <w:p w14:paraId="0B79E613"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Alternatives matter, but they do not eliminate dependence on trees.</w:t>
      </w:r>
    </w:p>
    <w:p w14:paraId="5E7C2863"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Synthetic rubber reduced pressure on natural rubber, but did not replace it in critical applications. Palm oil substitutes exist, but none approach its yield per acre. Engineered materials can replace some timber uses, but not all structural ones.</w:t>
      </w:r>
    </w:p>
    <w:p w14:paraId="5C2654BA"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Trees persist because they solve problems efficiently and at scale. The challenge is not replacement. It is management under conditions that are changing faster than trees can adapt.</w:t>
      </w:r>
    </w:p>
    <w:p w14:paraId="458D3997"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365FB2A2">
          <v:rect id="_x0000_i1127" style="width:0;height:1.5pt" o:hralign="center" o:hrstd="t" o:hr="t" fillcolor="#a0a0a0" stroked="f"/>
        </w:pict>
      </w:r>
    </w:p>
    <w:p w14:paraId="55E71D69"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Diversity Without Denial</w:t>
      </w:r>
    </w:p>
    <w:p w14:paraId="1E6030E5"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Tree-based economies are not identical. Coffee in Ethiopia does not face the same pressures as rubber in Thailand or cacao in Ecuador. Political systems, land tenure arrangements, and ecosystems vary widely.</w:t>
      </w:r>
    </w:p>
    <w:p w14:paraId="6B407C4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What unites them is exposure to long timelines in a rapidly changing world. Climate volatility, disease spread, and market concentration affect each differently, but none escape the underlying constraint: trees commit the future before it arrives.</w:t>
      </w:r>
    </w:p>
    <w:p w14:paraId="23EDC89B"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The band between the Tropic of Cancer and the Tropic of Capricorn is not uniform. It is simply where these commitments concentrate.</w:t>
      </w:r>
    </w:p>
    <w:p w14:paraId="743596FB"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1054BE1B">
          <v:rect id="_x0000_i1128" style="width:0;height:1.5pt" o:hralign="center" o:hrstd="t" o:hr="t" fillcolor="#a0a0a0" stroked="f"/>
        </w:pict>
      </w:r>
    </w:p>
    <w:p w14:paraId="46EE0F9F"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What Actually Changes Outcomes</w:t>
      </w:r>
    </w:p>
    <w:p w14:paraId="35DA2B17"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Tree-based systems improve when risk is shared rather than pushed upstream, when markets acknowledge biological time instead of ignoring it, and when diversity is treated as resilience rather than inefficiency.</w:t>
      </w:r>
    </w:p>
    <w:p w14:paraId="0DB3F384"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None of these adjustments are quick. All require coordination across producers, buyers, financiers, and governments. Awareness alone does not change systems, but systems rarely change without it.</w:t>
      </w:r>
    </w:p>
    <w:p w14:paraId="4B91C07B"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Long-term thinking is not a slogan here. It is a structural necessity.</w:t>
      </w:r>
    </w:p>
    <w:p w14:paraId="31920AFF"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pict w14:anchorId="1E0DCFB4">
          <v:rect id="_x0000_i1129" style="width:0;height:1.5pt" o:hralign="center" o:hrstd="t" o:hr="t" fillcolor="#a0a0a0" stroked="f"/>
        </w:pict>
      </w:r>
    </w:p>
    <w:p w14:paraId="4ABCAA15"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A Closing Reality</w:t>
      </w:r>
    </w:p>
    <w:p w14:paraId="42D5D27A"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Tree economies are not fragile because they are weak. They are fragile because they are slow.</w:t>
      </w:r>
    </w:p>
    <w:p w14:paraId="1FF86CE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They reward patience, punish volatility, and resist shortcuts. In a world optimized for speed, that makes them increasingly misaligned with the forces shaping global demand.</w:t>
      </w:r>
    </w:p>
    <w:p w14:paraId="1876F147"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Money does grow on trees. But it grows on timelines markets struggle to respect. Whether these systems endure will depend less on innovation rhetoric than on whether economic structures can adapt to the pace of the living systems they rely on.</w:t>
      </w:r>
    </w:p>
    <w:p w14:paraId="2612E0F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That constraint is not coming.</w:t>
      </w:r>
      <w:r w:rsidRPr="00FA1CED">
        <w:rPr>
          <w:rFonts w:asciiTheme="majorBidi" w:hAnsiTheme="majorBidi" w:cstheme="majorBidi"/>
          <w:sz w:val="36"/>
          <w:szCs w:val="36"/>
        </w:rPr>
        <w:br/>
        <w:t>It is already here.</w:t>
      </w:r>
    </w:p>
    <w:p w14:paraId="732DEC26" w14:textId="0AECC897" w:rsidR="00FA1CED" w:rsidRDefault="00FA1CED" w:rsidP="00CF7679">
      <w:pPr>
        <w:ind w:left="0" w:firstLine="0"/>
        <w:rPr>
          <w:rFonts w:asciiTheme="majorBidi" w:hAnsiTheme="majorBidi" w:cstheme="majorBidi"/>
          <w:sz w:val="36"/>
          <w:szCs w:val="36"/>
        </w:rPr>
      </w:pPr>
      <w:r>
        <w:rPr>
          <w:rFonts w:asciiTheme="majorBidi" w:hAnsiTheme="majorBidi" w:cstheme="majorBidi"/>
          <w:sz w:val="36"/>
          <w:szCs w:val="36"/>
        </w:rPr>
        <w:pict w14:anchorId="7B29BAB6">
          <v:rect id="_x0000_i1033" style="width:0;height:1.5pt" o:hralign="center" o:hrstd="t" o:hr="t" fillcolor="#a0a0a0" stroked="f"/>
        </w:pict>
      </w:r>
    </w:p>
    <w:p w14:paraId="73B2B9B5" w14:textId="77777777" w:rsidR="00FA1CED" w:rsidRPr="00FA1CED" w:rsidRDefault="00FA1CED" w:rsidP="00FA1CED">
      <w:pPr>
        <w:ind w:left="0" w:firstLine="0"/>
        <w:rPr>
          <w:rFonts w:asciiTheme="majorBidi" w:hAnsiTheme="majorBidi" w:cstheme="majorBidi"/>
          <w:b/>
          <w:bCs/>
          <w:sz w:val="36"/>
          <w:szCs w:val="36"/>
        </w:rPr>
      </w:pPr>
      <w:r w:rsidRPr="00FA1CED">
        <w:rPr>
          <w:rFonts w:asciiTheme="majorBidi" w:hAnsiTheme="majorBidi" w:cstheme="majorBidi"/>
          <w:b/>
          <w:bCs/>
          <w:sz w:val="36"/>
          <w:szCs w:val="36"/>
        </w:rPr>
        <w:t>Sources and Further Reading</w:t>
      </w:r>
    </w:p>
    <w:p w14:paraId="2A8B4885"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Climate impacts on coffee and cacao production, including elevation shifts and temperature sensitivity, are documented extensively by World Coffee Research and national agricultural institutes. See </w:t>
      </w:r>
      <w:r w:rsidRPr="00FA1CED">
        <w:rPr>
          <w:rFonts w:asciiTheme="majorBidi" w:hAnsiTheme="majorBidi" w:cstheme="majorBidi"/>
          <w:i/>
          <w:iCs/>
          <w:sz w:val="36"/>
          <w:szCs w:val="36"/>
        </w:rPr>
        <w:t>World Coffee Research, “Arabica Coffee Production and Climate Change”</w:t>
      </w:r>
      <w:r w:rsidRPr="00FA1CED">
        <w:rPr>
          <w:rFonts w:asciiTheme="majorBidi" w:hAnsiTheme="majorBidi" w:cstheme="majorBidi"/>
          <w:sz w:val="36"/>
          <w:szCs w:val="36"/>
        </w:rPr>
        <w:t xml:space="preserve"> and Davis et al., “The Impact of Climate Change on Indigenous Arabica Coffee,” published in </w:t>
      </w:r>
      <w:r w:rsidRPr="00FA1CED">
        <w:rPr>
          <w:rFonts w:asciiTheme="majorBidi" w:hAnsiTheme="majorBidi" w:cstheme="majorBidi"/>
          <w:i/>
          <w:iCs/>
          <w:sz w:val="36"/>
          <w:szCs w:val="36"/>
        </w:rPr>
        <w:t>Climatic Change</w:t>
      </w:r>
      <w:r w:rsidRPr="00FA1CED">
        <w:rPr>
          <w:rFonts w:asciiTheme="majorBidi" w:hAnsiTheme="majorBidi" w:cstheme="majorBidi"/>
          <w:sz w:val="36"/>
          <w:szCs w:val="36"/>
        </w:rPr>
        <w:t>.</w:t>
      </w:r>
    </w:p>
    <w:p w14:paraId="3C69E238"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Cacao vulnerability in West Africa, including rainfall variability and heat stress, is analyzed in depth by CIRAD (French Agricultural Research Centre for International Development) and national cocoa boards in Ghana and Côte d’Ivoire. Relevant studies include </w:t>
      </w:r>
      <w:r w:rsidRPr="00FA1CED">
        <w:rPr>
          <w:rFonts w:asciiTheme="majorBidi" w:hAnsiTheme="majorBidi" w:cstheme="majorBidi"/>
          <w:i/>
          <w:iCs/>
          <w:sz w:val="36"/>
          <w:szCs w:val="36"/>
        </w:rPr>
        <w:t>CIRAD, “Cocoa and Climate Change: Impacts and Adaptation Strategies”</w:t>
      </w:r>
      <w:r w:rsidRPr="00FA1CED">
        <w:rPr>
          <w:rFonts w:asciiTheme="majorBidi" w:hAnsiTheme="majorBidi" w:cstheme="majorBidi"/>
          <w:sz w:val="36"/>
          <w:szCs w:val="36"/>
        </w:rPr>
        <w:t xml:space="preserve"> and Schroth et al., “Vulnerability to Climate Change of Cocoa in West Africa,” </w:t>
      </w:r>
      <w:r w:rsidRPr="00FA1CED">
        <w:rPr>
          <w:rFonts w:asciiTheme="majorBidi" w:hAnsiTheme="majorBidi" w:cstheme="majorBidi"/>
          <w:i/>
          <w:iCs/>
          <w:sz w:val="36"/>
          <w:szCs w:val="36"/>
        </w:rPr>
        <w:t>Climatic Change</w:t>
      </w:r>
      <w:r w:rsidRPr="00FA1CED">
        <w:rPr>
          <w:rFonts w:asciiTheme="majorBidi" w:hAnsiTheme="majorBidi" w:cstheme="majorBidi"/>
          <w:sz w:val="36"/>
          <w:szCs w:val="36"/>
        </w:rPr>
        <w:t>.</w:t>
      </w:r>
    </w:p>
    <w:p w14:paraId="45185842"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The spread and impact of Panama disease Tropical Race 4 on banana production is well documented by the Food and Agriculture Organization of the United Nations (FAO). See </w:t>
      </w:r>
      <w:r w:rsidRPr="00FA1CED">
        <w:rPr>
          <w:rFonts w:asciiTheme="majorBidi" w:hAnsiTheme="majorBidi" w:cstheme="majorBidi"/>
          <w:i/>
          <w:iCs/>
          <w:sz w:val="36"/>
          <w:szCs w:val="36"/>
        </w:rPr>
        <w:t>FAO, “Panama Disease Tropical Race 4: A Threat to Global Banana Production”</w:t>
      </w:r>
      <w:r w:rsidRPr="00FA1CED">
        <w:rPr>
          <w:rFonts w:asciiTheme="majorBidi" w:hAnsiTheme="majorBidi" w:cstheme="majorBidi"/>
          <w:sz w:val="36"/>
          <w:szCs w:val="36"/>
        </w:rPr>
        <w:t>.</w:t>
      </w:r>
    </w:p>
    <w:p w14:paraId="51FEB49E"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Economic distribution within coffee and cacao supply chains, including producer share of final retail value, is addressed by multiple NGOs and trade organizations. See </w:t>
      </w:r>
      <w:r w:rsidRPr="00FA1CED">
        <w:rPr>
          <w:rFonts w:asciiTheme="majorBidi" w:hAnsiTheme="majorBidi" w:cstheme="majorBidi"/>
          <w:i/>
          <w:iCs/>
          <w:sz w:val="36"/>
          <w:szCs w:val="36"/>
        </w:rPr>
        <w:t>Oxfam, “The Coffee Crisis Continues”</w:t>
      </w:r>
      <w:r w:rsidRPr="00FA1CED">
        <w:rPr>
          <w:rFonts w:asciiTheme="majorBidi" w:hAnsiTheme="majorBidi" w:cstheme="majorBidi"/>
          <w:sz w:val="36"/>
          <w:szCs w:val="36"/>
        </w:rPr>
        <w:t xml:space="preserve"> and </w:t>
      </w:r>
      <w:r w:rsidRPr="00FA1CED">
        <w:rPr>
          <w:rFonts w:asciiTheme="majorBidi" w:hAnsiTheme="majorBidi" w:cstheme="majorBidi"/>
          <w:i/>
          <w:iCs/>
          <w:sz w:val="36"/>
          <w:szCs w:val="36"/>
        </w:rPr>
        <w:t>International Cocoa Organization (ICCO), “Value Distribution in the Cocoa Supply Chain”</w:t>
      </w:r>
      <w:r w:rsidRPr="00FA1CED">
        <w:rPr>
          <w:rFonts w:asciiTheme="majorBidi" w:hAnsiTheme="majorBidi" w:cstheme="majorBidi"/>
          <w:sz w:val="36"/>
          <w:szCs w:val="36"/>
        </w:rPr>
        <w:t>.</w:t>
      </w:r>
    </w:p>
    <w:p w14:paraId="3363E6AB"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Natural rubber’s continued industrial importance despite synthetic alternatives is discussed in </w:t>
      </w:r>
      <w:r w:rsidRPr="00FA1CED">
        <w:rPr>
          <w:rFonts w:asciiTheme="majorBidi" w:hAnsiTheme="majorBidi" w:cstheme="majorBidi"/>
          <w:i/>
          <w:iCs/>
          <w:sz w:val="36"/>
          <w:szCs w:val="36"/>
        </w:rPr>
        <w:t>International Rubber Study Group (IRSG), “Natural Rubber: Strategic Importance and Market Trends”</w:t>
      </w:r>
      <w:r w:rsidRPr="00FA1CED">
        <w:rPr>
          <w:rFonts w:asciiTheme="majorBidi" w:hAnsiTheme="majorBidi" w:cstheme="majorBidi"/>
          <w:sz w:val="36"/>
          <w:szCs w:val="36"/>
        </w:rPr>
        <w:t xml:space="preserve">, as well as in industry analyses published by </w:t>
      </w:r>
      <w:r w:rsidRPr="00FA1CED">
        <w:rPr>
          <w:rFonts w:asciiTheme="majorBidi" w:hAnsiTheme="majorBidi" w:cstheme="majorBidi"/>
          <w:i/>
          <w:iCs/>
          <w:sz w:val="36"/>
          <w:szCs w:val="36"/>
        </w:rPr>
        <w:t>Smithers</w:t>
      </w:r>
      <w:r w:rsidRPr="00FA1CED">
        <w:rPr>
          <w:rFonts w:asciiTheme="majorBidi" w:hAnsiTheme="majorBidi" w:cstheme="majorBidi"/>
          <w:sz w:val="36"/>
          <w:szCs w:val="36"/>
        </w:rPr>
        <w:t xml:space="preserve"> and </w:t>
      </w:r>
      <w:r w:rsidRPr="00FA1CED">
        <w:rPr>
          <w:rFonts w:asciiTheme="majorBidi" w:hAnsiTheme="majorBidi" w:cstheme="majorBidi"/>
          <w:i/>
          <w:iCs/>
          <w:sz w:val="36"/>
          <w:szCs w:val="36"/>
        </w:rPr>
        <w:t>Rubber World</w:t>
      </w:r>
      <w:r w:rsidRPr="00FA1CED">
        <w:rPr>
          <w:rFonts w:asciiTheme="majorBidi" w:hAnsiTheme="majorBidi" w:cstheme="majorBidi"/>
          <w:sz w:val="36"/>
          <w:szCs w:val="36"/>
        </w:rPr>
        <w:t>.</w:t>
      </w:r>
    </w:p>
    <w:p w14:paraId="1A94FCB9"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Palm oil productivity and environmental tradeoffs are examined by </w:t>
      </w:r>
      <w:r w:rsidRPr="00FA1CED">
        <w:rPr>
          <w:rFonts w:asciiTheme="majorBidi" w:hAnsiTheme="majorBidi" w:cstheme="majorBidi"/>
          <w:i/>
          <w:iCs/>
          <w:sz w:val="36"/>
          <w:szCs w:val="36"/>
        </w:rPr>
        <w:t>World Wildlife Fund (WWF), “Palm Oil: Why Production Matters”</w:t>
      </w:r>
      <w:r w:rsidRPr="00FA1CED">
        <w:rPr>
          <w:rFonts w:asciiTheme="majorBidi" w:hAnsiTheme="majorBidi" w:cstheme="majorBidi"/>
          <w:sz w:val="36"/>
          <w:szCs w:val="36"/>
        </w:rPr>
        <w:t xml:space="preserve"> and </w:t>
      </w:r>
      <w:r w:rsidRPr="00FA1CED">
        <w:rPr>
          <w:rFonts w:asciiTheme="majorBidi" w:hAnsiTheme="majorBidi" w:cstheme="majorBidi"/>
          <w:i/>
          <w:iCs/>
          <w:sz w:val="36"/>
          <w:szCs w:val="36"/>
        </w:rPr>
        <w:t xml:space="preserve">United Nations Environment </w:t>
      </w:r>
      <w:proofErr w:type="spellStart"/>
      <w:r w:rsidRPr="00FA1CED">
        <w:rPr>
          <w:rFonts w:asciiTheme="majorBidi" w:hAnsiTheme="majorBidi" w:cstheme="majorBidi"/>
          <w:i/>
          <w:iCs/>
          <w:sz w:val="36"/>
          <w:szCs w:val="36"/>
        </w:rPr>
        <w:t>Programme</w:t>
      </w:r>
      <w:proofErr w:type="spellEnd"/>
      <w:r w:rsidRPr="00FA1CED">
        <w:rPr>
          <w:rFonts w:asciiTheme="majorBidi" w:hAnsiTheme="majorBidi" w:cstheme="majorBidi"/>
          <w:i/>
          <w:iCs/>
          <w:sz w:val="36"/>
          <w:szCs w:val="36"/>
        </w:rPr>
        <w:t xml:space="preserve"> (UNEP), “Sustainability of Palm Oil in a Changing Climate”</w:t>
      </w:r>
      <w:r w:rsidRPr="00FA1CED">
        <w:rPr>
          <w:rFonts w:asciiTheme="majorBidi" w:hAnsiTheme="majorBidi" w:cstheme="majorBidi"/>
          <w:sz w:val="36"/>
          <w:szCs w:val="36"/>
        </w:rPr>
        <w:t>.</w:t>
      </w:r>
    </w:p>
    <w:p w14:paraId="60B00D70" w14:textId="77777777" w:rsidR="00FA1CED" w:rsidRPr="00FA1CED"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Timber production timelines, forest economics, and governance challenges are analyzed by the </w:t>
      </w:r>
      <w:r w:rsidRPr="00FA1CED">
        <w:rPr>
          <w:rFonts w:asciiTheme="majorBidi" w:hAnsiTheme="majorBidi" w:cstheme="majorBidi"/>
          <w:i/>
          <w:iCs/>
          <w:sz w:val="36"/>
          <w:szCs w:val="36"/>
        </w:rPr>
        <w:t>Food and Agriculture Organization of the United Nations (FAO), “State of the World’s Forests”</w:t>
      </w:r>
      <w:r w:rsidRPr="00FA1CED">
        <w:rPr>
          <w:rFonts w:asciiTheme="majorBidi" w:hAnsiTheme="majorBidi" w:cstheme="majorBidi"/>
          <w:sz w:val="36"/>
          <w:szCs w:val="36"/>
        </w:rPr>
        <w:t xml:space="preserve">, and </w:t>
      </w:r>
      <w:r w:rsidRPr="00FA1CED">
        <w:rPr>
          <w:rFonts w:asciiTheme="majorBidi" w:hAnsiTheme="majorBidi" w:cstheme="majorBidi"/>
          <w:i/>
          <w:iCs/>
          <w:sz w:val="36"/>
          <w:szCs w:val="36"/>
        </w:rPr>
        <w:t>World Bank, “The Economic Contribution of Forests”</w:t>
      </w:r>
      <w:r w:rsidRPr="00FA1CED">
        <w:rPr>
          <w:rFonts w:asciiTheme="majorBidi" w:hAnsiTheme="majorBidi" w:cstheme="majorBidi"/>
          <w:sz w:val="36"/>
          <w:szCs w:val="36"/>
        </w:rPr>
        <w:t>.</w:t>
      </w:r>
    </w:p>
    <w:p w14:paraId="22C7664E" w14:textId="38D7EEB2" w:rsidR="00FA1CED" w:rsidRPr="00076E89" w:rsidRDefault="00FA1CED" w:rsidP="00FA1CED">
      <w:pPr>
        <w:ind w:left="0" w:firstLine="0"/>
        <w:rPr>
          <w:rFonts w:asciiTheme="majorBidi" w:hAnsiTheme="majorBidi" w:cstheme="majorBidi"/>
          <w:sz w:val="36"/>
          <w:szCs w:val="36"/>
        </w:rPr>
      </w:pPr>
      <w:r w:rsidRPr="00FA1CED">
        <w:rPr>
          <w:rFonts w:asciiTheme="majorBidi" w:hAnsiTheme="majorBidi" w:cstheme="majorBidi"/>
          <w:sz w:val="36"/>
          <w:szCs w:val="36"/>
        </w:rPr>
        <w:t xml:space="preserve">Discussions of monoculture risk, genetic uniformity, and disease vulnerability in perennial crops draw on work by the </w:t>
      </w:r>
      <w:r w:rsidRPr="00FA1CED">
        <w:rPr>
          <w:rFonts w:asciiTheme="majorBidi" w:hAnsiTheme="majorBidi" w:cstheme="majorBidi"/>
          <w:i/>
          <w:iCs/>
          <w:sz w:val="36"/>
          <w:szCs w:val="36"/>
        </w:rPr>
        <w:t>Consultative Group on International Agricultural Research (CGIAR)</w:t>
      </w:r>
      <w:r w:rsidRPr="00FA1CED">
        <w:rPr>
          <w:rFonts w:asciiTheme="majorBidi" w:hAnsiTheme="majorBidi" w:cstheme="majorBidi"/>
          <w:sz w:val="36"/>
          <w:szCs w:val="36"/>
        </w:rPr>
        <w:t xml:space="preserve"> and </w:t>
      </w:r>
      <w:r w:rsidRPr="00FA1CED">
        <w:rPr>
          <w:rFonts w:asciiTheme="majorBidi" w:hAnsiTheme="majorBidi" w:cstheme="majorBidi"/>
          <w:i/>
          <w:iCs/>
          <w:sz w:val="36"/>
          <w:szCs w:val="36"/>
        </w:rPr>
        <w:t>FAO</w:t>
      </w:r>
      <w:r w:rsidRPr="00FA1CED">
        <w:rPr>
          <w:rFonts w:asciiTheme="majorBidi" w:hAnsiTheme="majorBidi" w:cstheme="majorBidi"/>
          <w:sz w:val="36"/>
          <w:szCs w:val="36"/>
        </w:rPr>
        <w:t xml:space="preserve">, particularly </w:t>
      </w:r>
      <w:r w:rsidRPr="00FA1CED">
        <w:rPr>
          <w:rFonts w:asciiTheme="majorBidi" w:hAnsiTheme="majorBidi" w:cstheme="majorBidi"/>
          <w:i/>
          <w:iCs/>
          <w:sz w:val="36"/>
          <w:szCs w:val="36"/>
        </w:rPr>
        <w:t>CGIAR, “Crop Genetic Diversity and Resilience”</w:t>
      </w:r>
      <w:r w:rsidRPr="00FA1CED">
        <w:rPr>
          <w:rFonts w:asciiTheme="majorBidi" w:hAnsiTheme="majorBidi" w:cstheme="majorBidi"/>
          <w:sz w:val="36"/>
          <w:szCs w:val="36"/>
        </w:rPr>
        <w:t>.</w:t>
      </w:r>
    </w:p>
    <w:sectPr w:rsidR="00FA1CED" w:rsidRPr="00076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133EA"/>
    <w:multiLevelType w:val="multilevel"/>
    <w:tmpl w:val="CD42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42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89"/>
    <w:rsid w:val="00076E89"/>
    <w:rsid w:val="00143158"/>
    <w:rsid w:val="004C11CC"/>
    <w:rsid w:val="008D3D73"/>
    <w:rsid w:val="00C8372D"/>
    <w:rsid w:val="00CF7679"/>
    <w:rsid w:val="00FA1CE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FE87"/>
  <w15:chartTrackingRefBased/>
  <w15:docId w15:val="{B97EE673-15B8-4F29-A363-1465480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E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E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E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E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E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E89"/>
    <w:rPr>
      <w:rFonts w:eastAsiaTheme="majorEastAsia" w:cstheme="majorBidi"/>
      <w:color w:val="272727" w:themeColor="text1" w:themeTint="D8"/>
    </w:rPr>
  </w:style>
  <w:style w:type="paragraph" w:styleId="Title">
    <w:name w:val="Title"/>
    <w:basedOn w:val="Normal"/>
    <w:next w:val="Normal"/>
    <w:link w:val="TitleChar"/>
    <w:uiPriority w:val="10"/>
    <w:qFormat/>
    <w:rsid w:val="00076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8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89"/>
    <w:pPr>
      <w:spacing w:before="160"/>
      <w:jc w:val="center"/>
    </w:pPr>
    <w:rPr>
      <w:i/>
      <w:iCs/>
      <w:color w:val="404040" w:themeColor="text1" w:themeTint="BF"/>
    </w:rPr>
  </w:style>
  <w:style w:type="character" w:customStyle="1" w:styleId="QuoteChar">
    <w:name w:val="Quote Char"/>
    <w:basedOn w:val="DefaultParagraphFont"/>
    <w:link w:val="Quote"/>
    <w:uiPriority w:val="29"/>
    <w:rsid w:val="00076E89"/>
    <w:rPr>
      <w:i/>
      <w:iCs/>
      <w:color w:val="404040" w:themeColor="text1" w:themeTint="BF"/>
    </w:rPr>
  </w:style>
  <w:style w:type="paragraph" w:styleId="ListParagraph">
    <w:name w:val="List Paragraph"/>
    <w:basedOn w:val="Normal"/>
    <w:uiPriority w:val="34"/>
    <w:qFormat/>
    <w:rsid w:val="00076E89"/>
    <w:pPr>
      <w:ind w:left="720"/>
      <w:contextualSpacing/>
    </w:pPr>
  </w:style>
  <w:style w:type="character" w:styleId="IntenseEmphasis">
    <w:name w:val="Intense Emphasis"/>
    <w:basedOn w:val="DefaultParagraphFont"/>
    <w:uiPriority w:val="21"/>
    <w:qFormat/>
    <w:rsid w:val="00076E89"/>
    <w:rPr>
      <w:i/>
      <w:iCs/>
      <w:color w:val="2F5496" w:themeColor="accent1" w:themeShade="BF"/>
    </w:rPr>
  </w:style>
  <w:style w:type="paragraph" w:styleId="IntenseQuote">
    <w:name w:val="Intense Quote"/>
    <w:basedOn w:val="Normal"/>
    <w:next w:val="Normal"/>
    <w:link w:val="IntenseQuoteChar"/>
    <w:uiPriority w:val="30"/>
    <w:qFormat/>
    <w:rsid w:val="0007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E89"/>
    <w:rPr>
      <w:i/>
      <w:iCs/>
      <w:color w:val="2F5496" w:themeColor="accent1" w:themeShade="BF"/>
    </w:rPr>
  </w:style>
  <w:style w:type="character" w:styleId="IntenseReference">
    <w:name w:val="Intense Reference"/>
    <w:basedOn w:val="DefaultParagraphFont"/>
    <w:uiPriority w:val="32"/>
    <w:qFormat/>
    <w:rsid w:val="00076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1485</Words>
  <Characters>8466</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2025-12-31T18:57:00Z</dcterms:created>
  <dcterms:modified xsi:type="dcterms:W3CDTF">2025-12-31T19:27:00Z</dcterms:modified>
</cp:coreProperties>
</file>