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7A0" w14:textId="60BA53B4" w:rsidR="00DE23D8" w:rsidRPr="00BD2D3A" w:rsidRDefault="00E710A9" w:rsidP="00BD2D3A">
      <w:pPr>
        <w:ind w:left="0" w:firstLine="0"/>
        <w:jc w:val="center"/>
        <w:rPr>
          <w:rFonts w:asciiTheme="majorBidi" w:hAnsiTheme="majorBidi" w:cstheme="majorBidi"/>
          <w:b/>
          <w:bCs/>
          <w:sz w:val="44"/>
          <w:szCs w:val="44"/>
        </w:rPr>
      </w:pPr>
      <w:r w:rsidRPr="00BD2D3A">
        <w:rPr>
          <w:rFonts w:asciiTheme="majorBidi" w:hAnsiTheme="majorBidi" w:cstheme="majorBidi"/>
          <w:b/>
          <w:bCs/>
          <w:sz w:val="44"/>
          <w:szCs w:val="44"/>
        </w:rPr>
        <w:t xml:space="preserve">Pt 2 - </w:t>
      </w:r>
      <w:r w:rsidR="00DE23D8" w:rsidRPr="00BD2D3A">
        <w:rPr>
          <w:rFonts w:asciiTheme="majorBidi" w:hAnsiTheme="majorBidi" w:cstheme="majorBidi"/>
          <w:b/>
          <w:bCs/>
          <w:sz w:val="44"/>
          <w:szCs w:val="44"/>
        </w:rPr>
        <w:t>When Trees Become Industry</w:t>
      </w:r>
    </w:p>
    <w:p w14:paraId="7B9D0A70" w14:textId="4BF07F5C" w:rsidR="00DE23D8" w:rsidRPr="00BD2D3A" w:rsidRDefault="00DE23D8" w:rsidP="00BD2D3A">
      <w:pPr>
        <w:ind w:left="0" w:firstLine="0"/>
        <w:jc w:val="center"/>
        <w:rPr>
          <w:rFonts w:asciiTheme="majorBidi" w:hAnsiTheme="majorBidi" w:cstheme="majorBidi"/>
          <w:b/>
          <w:bCs/>
          <w:sz w:val="40"/>
          <w:szCs w:val="40"/>
        </w:rPr>
      </w:pPr>
      <w:r w:rsidRPr="00BD2D3A">
        <w:rPr>
          <w:rFonts w:asciiTheme="majorBidi" w:hAnsiTheme="majorBidi" w:cstheme="majorBidi"/>
          <w:b/>
          <w:bCs/>
          <w:sz w:val="40"/>
          <w:szCs w:val="40"/>
        </w:rPr>
        <w:t>By Marc Silver</w:t>
      </w:r>
    </w:p>
    <w:p w14:paraId="6EEC050E"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Rubber, Palm Oil, Timber, and the Long Economics of Extraction</w:t>
      </w:r>
    </w:p>
    <w:p w14:paraId="6F8AD156"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Food trees shape daily habits. Industrial trees shape everything else.</w:t>
      </w:r>
    </w:p>
    <w:p w14:paraId="3B8DB5C5"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They do not appear on plates or in cups. They show up in tires, buildings, furniture, packaging, wiring insulation, medical gloves, cosmetics, and fuel. They are handled constantly, noticed rarely, and replaced slowly, if at all. Modern life rests on them so completely that their absence is almost unimaginable.</w:t>
      </w:r>
    </w:p>
    <w:p w14:paraId="46832533"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These trees grow in many of the same regions that produce coffee and chocolate, often in the same climates and sometimes on neighboring land. Yet they operate under a different economic logic. Food trees respond to taste, culture, and consumption patterns. Industrial trees respond to infrastructure, regulation, capital investment, and time. Lots of time.</w:t>
      </w:r>
    </w:p>
    <w:p w14:paraId="3036FF2D"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Once planted, they commit land, labor, and money for decades.</w:t>
      </w:r>
    </w:p>
    <w:p w14:paraId="48E83F88"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Rubber, palm oil, and timber are not niche commodities. Together they form one of the least visible but most consequential pillars of the global economy. They support transportation systems, housing markets, manufacturing, and energy production. When they function well, they disappear into the background. When they fail, the effects ripple outward, often far from the forests and plantations where the trees themselves grow.</w:t>
      </w:r>
    </w:p>
    <w:p w14:paraId="10DA2A9D"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This chapter looks at how trees become industry, and why industrial tree crops are among the hardest economic systems to change once they are set in motion.</w:t>
      </w:r>
    </w:p>
    <w:p w14:paraId="1CA17339"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pict w14:anchorId="340F7847">
          <v:rect id="_x0000_i1085" style="width:0;height:1.5pt" o:hralign="center" o:hrstd="t" o:hr="t" fillcolor="#a0a0a0" stroked="f"/>
        </w:pict>
      </w:r>
    </w:p>
    <w:p w14:paraId="78CE0F4C"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Rubber</w:t>
      </w:r>
    </w:p>
    <w:p w14:paraId="142DBC4A"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The Elastic Backbone of Modern Life</w:t>
      </w:r>
    </w:p>
    <w:p w14:paraId="399D2917"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 xml:space="preserve">Natural rubber comes from a single species, </w:t>
      </w:r>
      <w:r w:rsidRPr="00BD2D3A">
        <w:rPr>
          <w:rFonts w:asciiTheme="majorBidi" w:hAnsiTheme="majorBidi" w:cstheme="majorBidi"/>
          <w:i/>
          <w:iCs/>
          <w:sz w:val="36"/>
          <w:szCs w:val="36"/>
        </w:rPr>
        <w:t xml:space="preserve">Hevea </w:t>
      </w:r>
      <w:proofErr w:type="spellStart"/>
      <w:r w:rsidRPr="00BD2D3A">
        <w:rPr>
          <w:rFonts w:asciiTheme="majorBidi" w:hAnsiTheme="majorBidi" w:cstheme="majorBidi"/>
          <w:i/>
          <w:iCs/>
          <w:sz w:val="36"/>
          <w:szCs w:val="36"/>
        </w:rPr>
        <w:t>brasiliensis</w:t>
      </w:r>
      <w:proofErr w:type="spellEnd"/>
      <w:r w:rsidRPr="00BD2D3A">
        <w:rPr>
          <w:rFonts w:asciiTheme="majorBidi" w:hAnsiTheme="majorBidi" w:cstheme="majorBidi"/>
          <w:sz w:val="36"/>
          <w:szCs w:val="36"/>
        </w:rPr>
        <w:t>, a tree native to the Amazon basin. Its milky latex sap can be tapped repeatedly once the tree matures, producing a renewable material with properties that synthetic substitutes still struggle to match.</w:t>
      </w:r>
    </w:p>
    <w:p w14:paraId="5D3E38C3"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Despite decades of research and widespread use of synthetic rubber, natural rubber remains essential. Aircraft tires, heavy-duty truck tires, seismic bearings, medical gloves, and countless industrial components rely on its elasticity, heat resistance, and durability. When safety or infrastructure is involved, “good enough” is not good enough. Synthetic rubber often cannot replace the real thing.</w:t>
      </w:r>
    </w:p>
    <w:p w14:paraId="37146FC6"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Today, most natural rubber is grown not in South America, but in Southeast Asia. Thailand, Indonesia, Vietnam, and Malaysia dominate global production. That shift began during the colonial era, when seeds were smuggled out of Brazil and planted in British and Dutch colonies. It was one of the earliest examples of biological globalization, and its consequences are still playing out.</w:t>
      </w:r>
    </w:p>
    <w:p w14:paraId="2610DE17"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Rubber trees take six to seven years before they can be tapped. Once productive, they can yield latex for 25 to 30 years. This long timeline encourages stability but discourages flexibility. When prices fall, farmers cannot easily switch crops. When prices rise, new supply takes years to arrive. The result is a familiar boom-and-bust cycle that tends to hit smallholders hardest.</w:t>
      </w:r>
    </w:p>
    <w:p w14:paraId="7024E60E"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Rubber also reveals a recurring pattern in tree-based economies. The highest value is created far from the tree itself. Tires sell for hundreds of dollars. Gloves are produced by the billions. Meanwhile, the farmers who tap the trees operate on thin margins, exposed to price volatility, weather shifts, and disease pressures they cannot control.</w:t>
      </w:r>
    </w:p>
    <w:p w14:paraId="529A8EC9"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pict w14:anchorId="50860E23">
          <v:rect id="_x0000_i1086" style="width:0;height:1.5pt" o:hralign="center" o:hrstd="t" o:hr="t" fillcolor="#a0a0a0" stroked="f"/>
        </w:pict>
      </w:r>
    </w:p>
    <w:p w14:paraId="0E649DD9"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Palm Oil</w:t>
      </w:r>
    </w:p>
    <w:p w14:paraId="450845BB"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Efficiency at a Cost</w:t>
      </w:r>
    </w:p>
    <w:p w14:paraId="6967DDBD"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Palm oil is one of the most efficient crops ever developed. An oil palm plantation can produce four to ten times more oil per acre than soy, rapeseed, or sunflower. That efficiency explains why palm oil appears in roughly half of all packaged food products worldwide, as well as in soaps, cosmetics, detergents, and biofuels.</w:t>
      </w:r>
    </w:p>
    <w:p w14:paraId="50B28E73"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Oil palms are trees. They take three to four years to bear fruit and can remain productive for 25 years or more. Once planted, they do not simply occupy land. They define it, shaping landscapes, labor systems, and regional economies for a generation.</w:t>
      </w:r>
    </w:p>
    <w:p w14:paraId="6D0FB61B"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Indonesia and Malaysia account for most global palm oil production, with plantations expanding across Southeast Asia and increasingly into parts of Africa and Latin America. For producing countries, palm oil represents export revenue, employment, and infrastructure development. For consumers, it delivers low cost and functional versatility.</w:t>
      </w:r>
    </w:p>
    <w:p w14:paraId="0ECA0BF8"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The environmental consequences are widely documented. Large-scale deforestation, habitat loss, carbon emissions from peatland drainage, and land-use conflicts have accompanied the crop’s expansion. Palm oil sits at the center of a global contradiction. It is extraordinarily productive and extraordinarily disruptive.</w:t>
      </w:r>
    </w:p>
    <w:p w14:paraId="7839DAC5"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Unlike annual oil crops, oil palms cannot be rotated or abandoned without consequence. Once planted, they lock in land use and capital for decades. Certification programs and sustainability initiatives have made incremental progress, but their impact remains uneven. The economic incentives to expand are strong, and the costs of reversal are high.</w:t>
      </w:r>
    </w:p>
    <w:p w14:paraId="5E8AA1D0"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Palm oil illustrates a central truth of industrial tree crops. Solving one problem, efficiency, can create others that are far harder to contain. Trees that perform too well economically often prove the most difficult to manage environmentally.</w:t>
      </w:r>
    </w:p>
    <w:p w14:paraId="076E9849"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pict w14:anchorId="41D94675">
          <v:rect id="_x0000_i1087" style="width:0;height:1.5pt" o:hralign="center" o:hrstd="t" o:hr="t" fillcolor="#a0a0a0" stroked="f"/>
        </w:pict>
      </w:r>
    </w:p>
    <w:p w14:paraId="38D4D554"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Timber</w:t>
      </w:r>
    </w:p>
    <w:p w14:paraId="5808C2D1"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Capital Measured in Decades</w:t>
      </w:r>
    </w:p>
    <w:p w14:paraId="6326BAD1"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Timber may be the oldest industrial tree product, but it remains one of the most complex. Unlike rubber or palm oil, timber spans hundreds of species, multiple markets, and vastly different management models.</w:t>
      </w:r>
    </w:p>
    <w:p w14:paraId="5FD9DD88"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Some timber is grown in plantations designed for pulp, paper, and construction lumber. These systems operate on predictable schedules. Trees are planted, thinned, harvested, and replanted according to long-term plans that treat forests as productive assets. The approach supports stable supply but often reduces biodiversity and resilience.</w:t>
      </w:r>
    </w:p>
    <w:p w14:paraId="4414A30A"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Other timber comes from natural forests, where growth cycles stretch across decades or centuries. These forests preserve ecological complexity but introduce challenges of enforcement, governance, and illegal extraction. The economic pressures on these systems are relentless, especially in regions facing debt, political instability, or weak regulation.</w:t>
      </w:r>
    </w:p>
    <w:p w14:paraId="66BFA167"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Timber’s value is often realized far from its source. Logs harvested in tropical forests may be processed in one country, assembled into products in another, and sold thousands of miles away. Along the way, value accumulates unevenly. Producing regions frequently capture the smallest share, while downstream processors and retailers benefit most.</w:t>
      </w:r>
    </w:p>
    <w:p w14:paraId="609FE666"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 xml:space="preserve">Unlike food crops, timber can be stockpiled. Forests function as both </w:t>
      </w:r>
      <w:proofErr w:type="gramStart"/>
      <w:r w:rsidRPr="00BD2D3A">
        <w:rPr>
          <w:rFonts w:asciiTheme="majorBidi" w:hAnsiTheme="majorBidi" w:cstheme="majorBidi"/>
          <w:sz w:val="36"/>
          <w:szCs w:val="36"/>
        </w:rPr>
        <w:t>resource</w:t>
      </w:r>
      <w:proofErr w:type="gramEnd"/>
      <w:r w:rsidRPr="00BD2D3A">
        <w:rPr>
          <w:rFonts w:asciiTheme="majorBidi" w:hAnsiTheme="majorBidi" w:cstheme="majorBidi"/>
          <w:sz w:val="36"/>
          <w:szCs w:val="36"/>
        </w:rPr>
        <w:t xml:space="preserve"> and reserve, which makes them tempting targets during economic stress. When governments face fiscal pressure, timber concessions can appear to offer quick relief, even when the long-term environmental and economic costs far outweigh short-term gains.</w:t>
      </w:r>
    </w:p>
    <w:p w14:paraId="7156CC2A"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pict w14:anchorId="4770C601">
          <v:rect id="_x0000_i1088" style="width:0;height:1.5pt" o:hralign="center" o:hrstd="t" o:hr="t" fillcolor="#a0a0a0" stroked="f"/>
        </w:pict>
      </w:r>
    </w:p>
    <w:p w14:paraId="29E363CA"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Why Industrial Trees Are Harder to Replace</w:t>
      </w:r>
    </w:p>
    <w:p w14:paraId="13781207"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What unites rubber, palm oil, and timber is not just their economic importance, but their resistance to change.</w:t>
      </w:r>
    </w:p>
    <w:p w14:paraId="005861A0"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Trees lock decisions into the future. A rubber plantation planted today reflects assumptions about demand, prices, labor availability, and climate decades from now. If those assumptions prove wrong, there are few easy exits. Annual crops allow experimentation. Trees demand commitment.</w:t>
      </w:r>
    </w:p>
    <w:p w14:paraId="59A5EAC0"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This rigidity makes industrial tree systems especially vulnerable in a rapidly changing world. Climate shifts, disease outbreaks, regulatory changes, and geopolitical disruptions arrive faster than trees can adapt. When failure occurs, it is rarely local. Supply disruptions cascade through systems that were built on the assumption of long-term stability.</w:t>
      </w:r>
    </w:p>
    <w:p w14:paraId="4D2BA75C"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Industrial tree crops do not fail often, but when they do, they fail slowly and expensively.</w:t>
      </w:r>
    </w:p>
    <w:p w14:paraId="1EC053F5"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pict w14:anchorId="4C68E37D">
          <v:rect id="_x0000_i1089" style="width:0;height:1.5pt" o:hralign="center" o:hrstd="t" o:hr="t" fillcolor="#a0a0a0" stroked="f"/>
        </w:pict>
      </w:r>
    </w:p>
    <w:p w14:paraId="5361A82F" w14:textId="77777777" w:rsidR="00BD2D3A" w:rsidRPr="00BD2D3A" w:rsidRDefault="00BD2D3A" w:rsidP="00BD2D3A">
      <w:pPr>
        <w:ind w:left="0" w:firstLine="0"/>
        <w:rPr>
          <w:rFonts w:asciiTheme="majorBidi" w:hAnsiTheme="majorBidi" w:cstheme="majorBidi"/>
          <w:b/>
          <w:bCs/>
          <w:sz w:val="36"/>
          <w:szCs w:val="36"/>
        </w:rPr>
      </w:pPr>
      <w:r w:rsidRPr="00BD2D3A">
        <w:rPr>
          <w:rFonts w:asciiTheme="majorBidi" w:hAnsiTheme="majorBidi" w:cstheme="majorBidi"/>
          <w:b/>
          <w:bCs/>
          <w:sz w:val="36"/>
          <w:szCs w:val="36"/>
        </w:rPr>
        <w:t>A Broader View Ahead</w:t>
      </w:r>
    </w:p>
    <w:p w14:paraId="647DE62B"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Industrial trees reveal a different side of the same story told by food trees. They show how value accumulates over time, how risk concentrates quietly, and how decisions made at planting echo across generations.</w:t>
      </w:r>
    </w:p>
    <w:p w14:paraId="4CF3EA52"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The final chapter in this series steps back from individual crops to look at what all tree-based economies share. Long timelines. Fragile balances. And a growing mismatch between environmental limits and global demand.</w:t>
      </w:r>
    </w:p>
    <w:p w14:paraId="44711871" w14:textId="77777777" w:rsidR="00BD2D3A" w:rsidRPr="00BD2D3A" w:rsidRDefault="00BD2D3A" w:rsidP="00BD2D3A">
      <w:pPr>
        <w:ind w:left="0" w:firstLine="0"/>
        <w:rPr>
          <w:rFonts w:asciiTheme="majorBidi" w:hAnsiTheme="majorBidi" w:cstheme="majorBidi"/>
          <w:sz w:val="36"/>
          <w:szCs w:val="36"/>
        </w:rPr>
      </w:pPr>
      <w:r w:rsidRPr="00BD2D3A">
        <w:rPr>
          <w:rFonts w:asciiTheme="majorBidi" w:hAnsiTheme="majorBidi" w:cstheme="majorBidi"/>
          <w:sz w:val="36"/>
          <w:szCs w:val="36"/>
        </w:rPr>
        <w:t>Understanding that shared vulnerability matters, because systems built on trees do not collapse overnight. They erode, then unravel. And when they do, the consequences extend far beyond the forests and plantations where those trees once stood.</w:t>
      </w:r>
    </w:p>
    <w:p w14:paraId="0D9BE549" w14:textId="77777777" w:rsidR="00FB5B6C" w:rsidRPr="00BD2D3A" w:rsidRDefault="00FB5B6C" w:rsidP="00BD2D3A">
      <w:pPr>
        <w:ind w:left="0" w:firstLine="0"/>
        <w:rPr>
          <w:rFonts w:asciiTheme="majorBidi" w:hAnsiTheme="majorBidi" w:cstheme="majorBidi"/>
          <w:sz w:val="36"/>
          <w:szCs w:val="36"/>
        </w:rPr>
      </w:pPr>
    </w:p>
    <w:sectPr w:rsidR="00FB5B6C" w:rsidRPr="00BD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D8"/>
    <w:rsid w:val="00143158"/>
    <w:rsid w:val="004C11CC"/>
    <w:rsid w:val="008D3D73"/>
    <w:rsid w:val="00BD2D3A"/>
    <w:rsid w:val="00C8372D"/>
    <w:rsid w:val="00DE23D8"/>
    <w:rsid w:val="00E710A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C858"/>
  <w15:chartTrackingRefBased/>
  <w15:docId w15:val="{64B46801-7E53-462F-8166-5A0418A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3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3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3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3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3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3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3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3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3D8"/>
    <w:rPr>
      <w:rFonts w:eastAsiaTheme="majorEastAsia" w:cstheme="majorBidi"/>
      <w:color w:val="272727" w:themeColor="text1" w:themeTint="D8"/>
    </w:rPr>
  </w:style>
  <w:style w:type="paragraph" w:styleId="Title">
    <w:name w:val="Title"/>
    <w:basedOn w:val="Normal"/>
    <w:next w:val="Normal"/>
    <w:link w:val="TitleChar"/>
    <w:uiPriority w:val="10"/>
    <w:qFormat/>
    <w:rsid w:val="00DE2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3D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3D8"/>
    <w:pPr>
      <w:spacing w:before="160"/>
      <w:jc w:val="center"/>
    </w:pPr>
    <w:rPr>
      <w:i/>
      <w:iCs/>
      <w:color w:val="404040" w:themeColor="text1" w:themeTint="BF"/>
    </w:rPr>
  </w:style>
  <w:style w:type="character" w:customStyle="1" w:styleId="QuoteChar">
    <w:name w:val="Quote Char"/>
    <w:basedOn w:val="DefaultParagraphFont"/>
    <w:link w:val="Quote"/>
    <w:uiPriority w:val="29"/>
    <w:rsid w:val="00DE23D8"/>
    <w:rPr>
      <w:i/>
      <w:iCs/>
      <w:color w:val="404040" w:themeColor="text1" w:themeTint="BF"/>
    </w:rPr>
  </w:style>
  <w:style w:type="paragraph" w:styleId="ListParagraph">
    <w:name w:val="List Paragraph"/>
    <w:basedOn w:val="Normal"/>
    <w:uiPriority w:val="34"/>
    <w:qFormat/>
    <w:rsid w:val="00DE23D8"/>
    <w:pPr>
      <w:ind w:left="720"/>
      <w:contextualSpacing/>
    </w:pPr>
  </w:style>
  <w:style w:type="character" w:styleId="IntenseEmphasis">
    <w:name w:val="Intense Emphasis"/>
    <w:basedOn w:val="DefaultParagraphFont"/>
    <w:uiPriority w:val="21"/>
    <w:qFormat/>
    <w:rsid w:val="00DE23D8"/>
    <w:rPr>
      <w:i/>
      <w:iCs/>
      <w:color w:val="2F5496" w:themeColor="accent1" w:themeShade="BF"/>
    </w:rPr>
  </w:style>
  <w:style w:type="paragraph" w:styleId="IntenseQuote">
    <w:name w:val="Intense Quote"/>
    <w:basedOn w:val="Normal"/>
    <w:next w:val="Normal"/>
    <w:link w:val="IntenseQuoteChar"/>
    <w:uiPriority w:val="30"/>
    <w:qFormat/>
    <w:rsid w:val="00DE2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3D8"/>
    <w:rPr>
      <w:i/>
      <w:iCs/>
      <w:color w:val="2F5496" w:themeColor="accent1" w:themeShade="BF"/>
    </w:rPr>
  </w:style>
  <w:style w:type="character" w:styleId="IntenseReference">
    <w:name w:val="Intense Reference"/>
    <w:basedOn w:val="DefaultParagraphFont"/>
    <w:uiPriority w:val="32"/>
    <w:qFormat/>
    <w:rsid w:val="00DE23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2025-12-31T18:56:00Z</dcterms:created>
  <dcterms:modified xsi:type="dcterms:W3CDTF">2025-12-31T19:25:00Z</dcterms:modified>
</cp:coreProperties>
</file>