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83BC" w14:textId="4B9C109E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 xml:space="preserve">Other </w:t>
      </w:r>
      <w:r w:rsidR="00471217" w:rsidRPr="00A03FDC">
        <w:rPr>
          <w:rFonts w:asciiTheme="majorBidi" w:hAnsiTheme="majorBidi" w:cstheme="majorBidi"/>
          <w:b/>
          <w:bCs/>
          <w:sz w:val="36"/>
          <w:szCs w:val="36"/>
        </w:rPr>
        <w:t>Old-World</w:t>
      </w:r>
      <w:r w:rsidRPr="00A03FDC">
        <w:rPr>
          <w:rFonts w:asciiTheme="majorBidi" w:hAnsiTheme="majorBidi" w:cstheme="majorBidi"/>
          <w:b/>
          <w:bCs/>
          <w:sz w:val="36"/>
          <w:szCs w:val="36"/>
        </w:rPr>
        <w:t xml:space="preserve"> Wine Regions: Exploring Lesser-Known European Terroirs</w:t>
      </w:r>
    </w:p>
    <w:p w14:paraId="6F9FA60D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Region Overview</w:t>
      </w:r>
    </w:p>
    <w:p w14:paraId="5AB22A25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sz w:val="36"/>
          <w:szCs w:val="36"/>
        </w:rPr>
        <w:t xml:space="preserve">Beyond the well-known wine powerhouses of France, Italy, and Spain, several lesser-discussed Old World countries have deep-rooted viticultural traditions. Countries such as </w:t>
      </w:r>
      <w:r w:rsidRPr="00A03FDC">
        <w:rPr>
          <w:rFonts w:asciiTheme="majorBidi" w:hAnsiTheme="majorBidi" w:cstheme="majorBidi"/>
          <w:b/>
          <w:bCs/>
          <w:sz w:val="36"/>
          <w:szCs w:val="36"/>
        </w:rPr>
        <w:t>Greece, Hungary, Austria, Portugal, Switzerland, and Lebanon</w:t>
      </w:r>
      <w:r w:rsidRPr="00A03FDC">
        <w:rPr>
          <w:rFonts w:asciiTheme="majorBidi" w:hAnsiTheme="majorBidi" w:cstheme="majorBidi"/>
          <w:sz w:val="36"/>
          <w:szCs w:val="36"/>
        </w:rPr>
        <w:t xml:space="preserve"> have long histories of winemaking, producing distinctive wines that showcase unique terroirs and indigenous grape varieties.</w:t>
      </w:r>
    </w:p>
    <w:p w14:paraId="0007BD2A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sz w:val="36"/>
          <w:szCs w:val="36"/>
        </w:rPr>
        <w:t>These regions span diverse climates and soil types, from the volcanic landscapes of the Greek islands to the limestone-rich vineyards of Austria and the rugged mountain slopes of Switzerland. While some of these countries have had international recognition for certain wines, many of their lesser-known varietals and styles remain hidden gems for wine professionals and enthusiasts alike.</w:t>
      </w:r>
    </w:p>
    <w:p w14:paraId="43F0A111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Key Grape Varieties</w:t>
      </w:r>
    </w:p>
    <w:p w14:paraId="015FD47C" w14:textId="77777777" w:rsidR="000F5FB6" w:rsidRPr="00A03FDC" w:rsidRDefault="000F5FB6" w:rsidP="00A03FDC">
      <w:pPr>
        <w:numPr>
          <w:ilvl w:val="0"/>
          <w:numId w:val="1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546748DA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Xinomavro</w:t>
      </w:r>
      <w:r w:rsidRPr="00A03FDC">
        <w:rPr>
          <w:rFonts w:asciiTheme="majorBidi" w:hAnsiTheme="majorBidi" w:cstheme="majorBidi"/>
          <w:sz w:val="36"/>
          <w:szCs w:val="36"/>
        </w:rPr>
        <w:t xml:space="preserve"> (Greece) – A high-acid, structured red often compared to Nebbiolo.</w:t>
      </w:r>
    </w:p>
    <w:p w14:paraId="1962A8B1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A03FDC">
        <w:rPr>
          <w:rFonts w:asciiTheme="majorBidi" w:hAnsiTheme="majorBidi" w:cstheme="majorBidi"/>
          <w:i/>
          <w:iCs/>
          <w:sz w:val="36"/>
          <w:szCs w:val="36"/>
        </w:rPr>
        <w:t>Kékfrankos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(Hungary, Austria) – Known as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Blaufränkisch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in Austria, this red is spicy, medium-bodied, and vibrant.</w:t>
      </w:r>
    </w:p>
    <w:p w14:paraId="78EE56E7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Touriga Nacional</w:t>
      </w:r>
      <w:r w:rsidRPr="00A03FDC">
        <w:rPr>
          <w:rFonts w:asciiTheme="majorBidi" w:hAnsiTheme="majorBidi" w:cstheme="majorBidi"/>
          <w:sz w:val="36"/>
          <w:szCs w:val="36"/>
        </w:rPr>
        <w:t xml:space="preserve"> (Portugal) – The backbone of Port wine, also producing bold, tannic dry reds.</w:t>
      </w:r>
    </w:p>
    <w:p w14:paraId="6A88DC7E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A03FDC">
        <w:rPr>
          <w:rFonts w:asciiTheme="majorBidi" w:hAnsiTheme="majorBidi" w:cstheme="majorBidi"/>
          <w:i/>
          <w:iCs/>
          <w:sz w:val="36"/>
          <w:szCs w:val="36"/>
        </w:rPr>
        <w:t>Cornalin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(Switzerland) – A rare, indigenous red known for dark fruit and spice.</w:t>
      </w:r>
    </w:p>
    <w:p w14:paraId="1F7FC24A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A03FDC">
        <w:rPr>
          <w:rFonts w:asciiTheme="majorBidi" w:hAnsiTheme="majorBidi" w:cstheme="majorBidi"/>
          <w:i/>
          <w:iCs/>
          <w:sz w:val="36"/>
          <w:szCs w:val="36"/>
        </w:rPr>
        <w:t>Obaideh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(Lebanon) – An indigenous red variety thought to be related to Chardonnay.</w:t>
      </w:r>
    </w:p>
    <w:p w14:paraId="034D55AC" w14:textId="77777777" w:rsidR="000F5FB6" w:rsidRPr="00A03FDC" w:rsidRDefault="000F5FB6" w:rsidP="00A03FDC">
      <w:pPr>
        <w:numPr>
          <w:ilvl w:val="0"/>
          <w:numId w:val="1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48DC5138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Assyrtiko</w:t>
      </w:r>
      <w:r w:rsidRPr="00A03FDC">
        <w:rPr>
          <w:rFonts w:asciiTheme="majorBidi" w:hAnsiTheme="majorBidi" w:cstheme="majorBidi"/>
          <w:sz w:val="36"/>
          <w:szCs w:val="36"/>
        </w:rPr>
        <w:t xml:space="preserve"> (Greece) – A high-acid, mineral-driven white thriving in volcanic soils.</w:t>
      </w:r>
    </w:p>
    <w:p w14:paraId="4724B1DB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Furmint</w:t>
      </w:r>
      <w:r w:rsidRPr="00A03FDC">
        <w:rPr>
          <w:rFonts w:asciiTheme="majorBidi" w:hAnsiTheme="majorBidi" w:cstheme="majorBidi"/>
          <w:sz w:val="36"/>
          <w:szCs w:val="36"/>
        </w:rPr>
        <w:t xml:space="preserve"> (Hungary) – The primary grape in Tokaji, producing both dry and sweet wines.</w:t>
      </w:r>
    </w:p>
    <w:p w14:paraId="65C7E73D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Grüner Veltliner</w:t>
      </w:r>
      <w:r w:rsidRPr="00A03FDC">
        <w:rPr>
          <w:rFonts w:asciiTheme="majorBidi" w:hAnsiTheme="majorBidi" w:cstheme="majorBidi"/>
          <w:sz w:val="36"/>
          <w:szCs w:val="36"/>
        </w:rPr>
        <w:t xml:space="preserve"> (Austria) – A crisp, peppery white with strong aging potential.</w:t>
      </w:r>
    </w:p>
    <w:p w14:paraId="40FEF058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Arinto</w:t>
      </w:r>
      <w:r w:rsidRPr="00A03FDC">
        <w:rPr>
          <w:rFonts w:asciiTheme="majorBidi" w:hAnsiTheme="majorBidi" w:cstheme="majorBidi"/>
          <w:sz w:val="36"/>
          <w:szCs w:val="36"/>
        </w:rPr>
        <w:t xml:space="preserve"> (Portugal) – A high-acid, citrusy white found in Vinho Verde and beyond.</w:t>
      </w:r>
    </w:p>
    <w:p w14:paraId="0F572A00" w14:textId="77777777" w:rsidR="000F5FB6" w:rsidRPr="00A03FDC" w:rsidRDefault="000F5FB6" w:rsidP="00A03FDC">
      <w:pPr>
        <w:numPr>
          <w:ilvl w:val="1"/>
          <w:numId w:val="1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Petite Arvine</w:t>
      </w:r>
      <w:r w:rsidRPr="00A03FDC">
        <w:rPr>
          <w:rFonts w:asciiTheme="majorBidi" w:hAnsiTheme="majorBidi" w:cstheme="majorBidi"/>
          <w:sz w:val="36"/>
          <w:szCs w:val="36"/>
        </w:rPr>
        <w:t xml:space="preserve"> (Switzerland) – A rare, floral white grape with bright acidity.</w:t>
      </w:r>
    </w:p>
    <w:p w14:paraId="1DF30729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Wine Classification Systems</w:t>
      </w:r>
    </w:p>
    <w:p w14:paraId="0F667C79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sz w:val="36"/>
          <w:szCs w:val="36"/>
        </w:rPr>
        <w:t>Each country follows its own classification system, many of which are aligned with EU regulations:</w:t>
      </w:r>
    </w:p>
    <w:p w14:paraId="69C1F9DB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Greece:</w:t>
      </w:r>
      <w:r w:rsidRPr="00A03FDC">
        <w:rPr>
          <w:rFonts w:asciiTheme="majorBidi" w:hAnsiTheme="majorBidi" w:cstheme="majorBidi"/>
          <w:sz w:val="36"/>
          <w:szCs w:val="36"/>
        </w:rPr>
        <w:t xml:space="preserve"> PDO (Protected Designation of Origin) and PGI (Protected Geographical Indication) classifications.</w:t>
      </w:r>
    </w:p>
    <w:p w14:paraId="519B46D6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Hungary:</w:t>
      </w:r>
      <w:r w:rsidRPr="00A03FDC">
        <w:rPr>
          <w:rFonts w:asciiTheme="majorBidi" w:hAnsiTheme="majorBidi" w:cstheme="majorBidi"/>
          <w:sz w:val="36"/>
          <w:szCs w:val="36"/>
        </w:rPr>
        <w:t xml:space="preserve"> The Tokaj region has a specific PDO for its world-renowned dessert wines.</w:t>
      </w:r>
    </w:p>
    <w:p w14:paraId="4CF95862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Austria:</w:t>
      </w:r>
      <w:r w:rsidRPr="00A03FDC">
        <w:rPr>
          <w:rFonts w:asciiTheme="majorBidi" w:hAnsiTheme="majorBidi" w:cstheme="majorBidi"/>
          <w:sz w:val="36"/>
          <w:szCs w:val="36"/>
        </w:rPr>
        <w:t xml:space="preserve"> DAC (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Districtus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Austriae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Controllatus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>) system, focusing on regional typicity.</w:t>
      </w:r>
    </w:p>
    <w:p w14:paraId="14C07CDF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Portugal:</w:t>
      </w:r>
      <w:r w:rsidRPr="00A03FDC">
        <w:rPr>
          <w:rFonts w:asciiTheme="majorBidi" w:hAnsiTheme="majorBidi" w:cstheme="majorBidi"/>
          <w:sz w:val="36"/>
          <w:szCs w:val="36"/>
        </w:rPr>
        <w:t xml:space="preserve"> DOC (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Denominação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de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Origem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Controlada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>) system for high-quality wines.</w:t>
      </w:r>
    </w:p>
    <w:p w14:paraId="3783459D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Switzerland:</w:t>
      </w:r>
      <w:r w:rsidRPr="00A03FDC">
        <w:rPr>
          <w:rFonts w:asciiTheme="majorBidi" w:hAnsiTheme="majorBidi" w:cstheme="majorBidi"/>
          <w:sz w:val="36"/>
          <w:szCs w:val="36"/>
        </w:rPr>
        <w:t xml:space="preserve"> AOC (Appellation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d’Origine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Contrôlée) varies by canton but follows strict quality standards.</w:t>
      </w:r>
    </w:p>
    <w:p w14:paraId="42126044" w14:textId="77777777" w:rsidR="000F5FB6" w:rsidRPr="00A03FDC" w:rsidRDefault="000F5FB6" w:rsidP="00A03FDC">
      <w:pPr>
        <w:numPr>
          <w:ilvl w:val="0"/>
          <w:numId w:val="2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Lebanon:</w:t>
      </w:r>
      <w:r w:rsidRPr="00A03FDC">
        <w:rPr>
          <w:rFonts w:asciiTheme="majorBidi" w:hAnsiTheme="majorBidi" w:cstheme="majorBidi"/>
          <w:sz w:val="36"/>
          <w:szCs w:val="36"/>
        </w:rPr>
        <w:t xml:space="preserve"> No formal PDO system, but the Bekaa Valley dominates quality production.</w:t>
      </w:r>
    </w:p>
    <w:p w14:paraId="5603EE70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Notable Wine Styles</w:t>
      </w:r>
    </w:p>
    <w:p w14:paraId="6FDF2171" w14:textId="77777777" w:rsidR="000F5FB6" w:rsidRPr="00A03FDC" w:rsidRDefault="000F5FB6" w:rsidP="00A03FDC">
      <w:pPr>
        <w:numPr>
          <w:ilvl w:val="0"/>
          <w:numId w:val="3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 xml:space="preserve">Tokaji </w:t>
      </w:r>
      <w:proofErr w:type="spellStart"/>
      <w:r w:rsidRPr="00A03FDC">
        <w:rPr>
          <w:rFonts w:asciiTheme="majorBidi" w:hAnsiTheme="majorBidi" w:cstheme="majorBidi"/>
          <w:b/>
          <w:bCs/>
          <w:sz w:val="36"/>
          <w:szCs w:val="36"/>
        </w:rPr>
        <w:t>Aszú</w:t>
      </w:r>
      <w:proofErr w:type="spellEnd"/>
      <w:r w:rsidRPr="00A03FDC">
        <w:rPr>
          <w:rFonts w:asciiTheme="majorBidi" w:hAnsiTheme="majorBidi" w:cstheme="majorBidi"/>
          <w:b/>
          <w:bCs/>
          <w:sz w:val="36"/>
          <w:szCs w:val="36"/>
        </w:rPr>
        <w:t xml:space="preserve"> (Hungary’s Historic Sweet Wine)</w:t>
      </w:r>
    </w:p>
    <w:p w14:paraId="5E12D553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A03FDC">
        <w:rPr>
          <w:rFonts w:asciiTheme="majorBidi" w:hAnsiTheme="majorBidi" w:cstheme="majorBidi"/>
          <w:sz w:val="36"/>
          <w:szCs w:val="36"/>
        </w:rPr>
        <w:t xml:space="preserve"> PDO Tokaj.</w:t>
      </w:r>
    </w:p>
    <w:p w14:paraId="138EB2F0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A03FDC">
        <w:rPr>
          <w:rFonts w:asciiTheme="majorBidi" w:hAnsiTheme="majorBidi" w:cstheme="majorBidi"/>
          <w:sz w:val="36"/>
          <w:szCs w:val="36"/>
        </w:rPr>
        <w:t xml:space="preserve"> Primarily Furmint with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Hárslevelű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and Sárga Muskotály.</w:t>
      </w:r>
    </w:p>
    <w:p w14:paraId="6473563C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A03FDC">
        <w:rPr>
          <w:rFonts w:asciiTheme="majorBidi" w:hAnsiTheme="majorBidi" w:cstheme="majorBidi"/>
          <w:sz w:val="36"/>
          <w:szCs w:val="36"/>
        </w:rPr>
        <w:t xml:space="preserve"> Botrytized grapes, aged in Hungarian oak.</w:t>
      </w:r>
    </w:p>
    <w:p w14:paraId="37C02CB7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A03FDC">
        <w:rPr>
          <w:rFonts w:asciiTheme="majorBidi" w:hAnsiTheme="majorBidi" w:cstheme="majorBidi"/>
          <w:sz w:val="36"/>
          <w:szCs w:val="36"/>
        </w:rPr>
        <w:t xml:space="preserve"> Minimum 3 years for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Aszú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styles.</w:t>
      </w:r>
    </w:p>
    <w:p w14:paraId="6280380D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A03FDC">
        <w:rPr>
          <w:rFonts w:asciiTheme="majorBidi" w:hAnsiTheme="majorBidi" w:cstheme="majorBidi"/>
          <w:sz w:val="36"/>
          <w:szCs w:val="36"/>
        </w:rPr>
        <w:t xml:space="preserve"> 9–12% ABV.</w:t>
      </w:r>
    </w:p>
    <w:p w14:paraId="6BF3472D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A03FDC">
        <w:rPr>
          <w:rFonts w:asciiTheme="majorBidi" w:hAnsiTheme="majorBidi" w:cstheme="majorBidi"/>
          <w:sz w:val="36"/>
          <w:szCs w:val="36"/>
        </w:rPr>
        <w:t xml:space="preserve"> Honey, apricot, orange peel, and spice.</w:t>
      </w:r>
    </w:p>
    <w:p w14:paraId="6EFE7E3C" w14:textId="77777777" w:rsidR="000F5FB6" w:rsidRPr="00A03FDC" w:rsidRDefault="000F5FB6" w:rsidP="00A03FDC">
      <w:pPr>
        <w:numPr>
          <w:ilvl w:val="0"/>
          <w:numId w:val="3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Assyrtiko (Greece’s Iconic White)</w:t>
      </w:r>
    </w:p>
    <w:p w14:paraId="343DAB6C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A03FDC">
        <w:rPr>
          <w:rFonts w:asciiTheme="majorBidi" w:hAnsiTheme="majorBidi" w:cstheme="majorBidi"/>
          <w:sz w:val="36"/>
          <w:szCs w:val="36"/>
        </w:rPr>
        <w:t xml:space="preserve"> PDO Santorini.</w:t>
      </w:r>
    </w:p>
    <w:p w14:paraId="3CE6302B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A03FDC">
        <w:rPr>
          <w:rFonts w:asciiTheme="majorBidi" w:hAnsiTheme="majorBidi" w:cstheme="majorBidi"/>
          <w:sz w:val="36"/>
          <w:szCs w:val="36"/>
        </w:rPr>
        <w:t xml:space="preserve"> 100% Assyrtiko.</w:t>
      </w:r>
    </w:p>
    <w:p w14:paraId="65D2A49B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A03FDC">
        <w:rPr>
          <w:rFonts w:asciiTheme="majorBidi" w:hAnsiTheme="majorBidi" w:cstheme="majorBidi"/>
          <w:sz w:val="36"/>
          <w:szCs w:val="36"/>
        </w:rPr>
        <w:t xml:space="preserve"> Stainless steel fermentation, some aged in oak.</w:t>
      </w:r>
    </w:p>
    <w:p w14:paraId="5D01B6FB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A03FDC">
        <w:rPr>
          <w:rFonts w:asciiTheme="majorBidi" w:hAnsiTheme="majorBidi" w:cstheme="majorBidi"/>
          <w:sz w:val="36"/>
          <w:szCs w:val="36"/>
        </w:rPr>
        <w:t xml:space="preserve"> Typically released young; aged versions develop richness.</w:t>
      </w:r>
    </w:p>
    <w:p w14:paraId="25D5B1DF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A03FDC">
        <w:rPr>
          <w:rFonts w:asciiTheme="majorBidi" w:hAnsiTheme="majorBidi" w:cstheme="majorBidi"/>
          <w:sz w:val="36"/>
          <w:szCs w:val="36"/>
        </w:rPr>
        <w:t xml:space="preserve"> 12.5–14% ABV.</w:t>
      </w:r>
    </w:p>
    <w:p w14:paraId="12158710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A03FDC">
        <w:rPr>
          <w:rFonts w:asciiTheme="majorBidi" w:hAnsiTheme="majorBidi" w:cstheme="majorBidi"/>
          <w:sz w:val="36"/>
          <w:szCs w:val="36"/>
        </w:rPr>
        <w:t xml:space="preserve"> Lemon zest, saline minerality, and high acidity.</w:t>
      </w:r>
    </w:p>
    <w:p w14:paraId="5EEB3C7D" w14:textId="77777777" w:rsidR="000F5FB6" w:rsidRPr="00A03FDC" w:rsidRDefault="000F5FB6" w:rsidP="00A03FDC">
      <w:pPr>
        <w:numPr>
          <w:ilvl w:val="0"/>
          <w:numId w:val="3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Touriga Nacional (Portugal’s Bold Red)</w:t>
      </w:r>
    </w:p>
    <w:p w14:paraId="017C72C9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A03FDC">
        <w:rPr>
          <w:rFonts w:asciiTheme="majorBidi" w:hAnsiTheme="majorBidi" w:cstheme="majorBidi"/>
          <w:sz w:val="36"/>
          <w:szCs w:val="36"/>
        </w:rPr>
        <w:t xml:space="preserve"> DOC Douro.</w:t>
      </w:r>
    </w:p>
    <w:p w14:paraId="1E4C47A9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A03FDC">
        <w:rPr>
          <w:rFonts w:asciiTheme="majorBidi" w:hAnsiTheme="majorBidi" w:cstheme="majorBidi"/>
          <w:sz w:val="36"/>
          <w:szCs w:val="36"/>
        </w:rPr>
        <w:t xml:space="preserve"> 100% Touriga Nacional.</w:t>
      </w:r>
    </w:p>
    <w:p w14:paraId="6F65F28A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A03FDC">
        <w:rPr>
          <w:rFonts w:asciiTheme="majorBidi" w:hAnsiTheme="majorBidi" w:cstheme="majorBidi"/>
          <w:sz w:val="36"/>
          <w:szCs w:val="36"/>
        </w:rPr>
        <w:t xml:space="preserve"> Extended maceration and oak aging.</w:t>
      </w:r>
    </w:p>
    <w:p w14:paraId="35167CCD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A03FDC">
        <w:rPr>
          <w:rFonts w:asciiTheme="majorBidi" w:hAnsiTheme="majorBidi" w:cstheme="majorBidi"/>
          <w:sz w:val="36"/>
          <w:szCs w:val="36"/>
        </w:rPr>
        <w:t xml:space="preserve"> 12–24 months in oak.</w:t>
      </w:r>
    </w:p>
    <w:p w14:paraId="3ABE8C7B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A03FDC">
        <w:rPr>
          <w:rFonts w:asciiTheme="majorBidi" w:hAnsiTheme="majorBidi" w:cstheme="majorBidi"/>
          <w:sz w:val="36"/>
          <w:szCs w:val="36"/>
        </w:rPr>
        <w:t xml:space="preserve"> 13.5–15% ABV.</w:t>
      </w:r>
    </w:p>
    <w:p w14:paraId="3B201384" w14:textId="77777777" w:rsidR="000F5FB6" w:rsidRPr="00A03FDC" w:rsidRDefault="000F5FB6" w:rsidP="00A03FDC">
      <w:pPr>
        <w:numPr>
          <w:ilvl w:val="1"/>
          <w:numId w:val="3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A03FDC">
        <w:rPr>
          <w:rFonts w:asciiTheme="majorBidi" w:hAnsiTheme="majorBidi" w:cstheme="majorBidi"/>
          <w:sz w:val="36"/>
          <w:szCs w:val="36"/>
        </w:rPr>
        <w:t xml:space="preserve"> Black fruit, violet, and firm tannins.</w:t>
      </w:r>
    </w:p>
    <w:p w14:paraId="589977B5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Additional Context</w:t>
      </w:r>
    </w:p>
    <w:p w14:paraId="129242E8" w14:textId="77777777" w:rsidR="000F5FB6" w:rsidRPr="00A03FDC" w:rsidRDefault="000F5FB6" w:rsidP="00A03FDC">
      <w:pPr>
        <w:numPr>
          <w:ilvl w:val="0"/>
          <w:numId w:val="4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Recent Developments:</w:t>
      </w:r>
      <w:r w:rsidRPr="00A03FDC">
        <w:rPr>
          <w:rFonts w:asciiTheme="majorBidi" w:hAnsiTheme="majorBidi" w:cstheme="majorBidi"/>
          <w:sz w:val="36"/>
          <w:szCs w:val="36"/>
        </w:rPr>
        <w:t xml:space="preserve"> A renewed interest in natural and organic winemaking across these regions.</w:t>
      </w:r>
    </w:p>
    <w:p w14:paraId="101D8431" w14:textId="77777777" w:rsidR="000F5FB6" w:rsidRPr="00A03FDC" w:rsidRDefault="000F5FB6" w:rsidP="00A03FDC">
      <w:pPr>
        <w:numPr>
          <w:ilvl w:val="0"/>
          <w:numId w:val="4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Historical Evolution:</w:t>
      </w:r>
      <w:r w:rsidRPr="00A03FDC">
        <w:rPr>
          <w:rFonts w:asciiTheme="majorBidi" w:hAnsiTheme="majorBidi" w:cstheme="majorBidi"/>
          <w:sz w:val="36"/>
          <w:szCs w:val="36"/>
        </w:rPr>
        <w:t xml:space="preserve"> Many of these regions date back to ancient times but are now experiencing a resurgence in global markets.</w:t>
      </w:r>
    </w:p>
    <w:p w14:paraId="57651155" w14:textId="77777777" w:rsidR="000F5FB6" w:rsidRPr="00A03FDC" w:rsidRDefault="000F5FB6" w:rsidP="00A03FDC">
      <w:pPr>
        <w:numPr>
          <w:ilvl w:val="0"/>
          <w:numId w:val="4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Food Pairing Notes:</w:t>
      </w:r>
      <w:r w:rsidRPr="00A03FDC">
        <w:rPr>
          <w:rFonts w:asciiTheme="majorBidi" w:hAnsiTheme="majorBidi" w:cstheme="majorBidi"/>
          <w:sz w:val="36"/>
          <w:szCs w:val="36"/>
        </w:rPr>
        <w:t xml:space="preserve"> Tokaji </w:t>
      </w:r>
      <w:proofErr w:type="spellStart"/>
      <w:r w:rsidRPr="00A03FDC">
        <w:rPr>
          <w:rFonts w:asciiTheme="majorBidi" w:hAnsiTheme="majorBidi" w:cstheme="majorBidi"/>
          <w:sz w:val="36"/>
          <w:szCs w:val="36"/>
        </w:rPr>
        <w:t>Aszú</w:t>
      </w:r>
      <w:proofErr w:type="spellEnd"/>
      <w:r w:rsidRPr="00A03FDC">
        <w:rPr>
          <w:rFonts w:asciiTheme="majorBidi" w:hAnsiTheme="majorBidi" w:cstheme="majorBidi"/>
          <w:sz w:val="36"/>
          <w:szCs w:val="36"/>
        </w:rPr>
        <w:t xml:space="preserve"> pairs well with foie gras and blue cheese, while Assyrtiko is a perfect match for seafood.</w:t>
      </w:r>
    </w:p>
    <w:p w14:paraId="5B56D94C" w14:textId="77777777" w:rsidR="000F5FB6" w:rsidRPr="00A03FDC" w:rsidRDefault="000F5FB6" w:rsidP="00A03FDC">
      <w:pPr>
        <w:numPr>
          <w:ilvl w:val="0"/>
          <w:numId w:val="4"/>
        </w:numPr>
        <w:tabs>
          <w:tab w:val="clear" w:pos="720"/>
          <w:tab w:val="num" w:pos="1440"/>
        </w:tabs>
        <w:ind w:left="144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Notable Producers:</w:t>
      </w:r>
    </w:p>
    <w:p w14:paraId="2DDB1645" w14:textId="77777777" w:rsidR="000F5FB6" w:rsidRPr="00A03FDC" w:rsidRDefault="000F5FB6" w:rsidP="00A03FDC">
      <w:pPr>
        <w:numPr>
          <w:ilvl w:val="1"/>
          <w:numId w:val="4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Kir-Yianni (Greece)</w:t>
      </w:r>
      <w:r w:rsidRPr="00A03FDC">
        <w:rPr>
          <w:rFonts w:asciiTheme="majorBidi" w:hAnsiTheme="majorBidi" w:cstheme="majorBidi"/>
          <w:sz w:val="36"/>
          <w:szCs w:val="36"/>
        </w:rPr>
        <w:t xml:space="preserve"> – A leading producer of Xinomavro.</w:t>
      </w:r>
    </w:p>
    <w:p w14:paraId="48F230DA" w14:textId="77777777" w:rsidR="000F5FB6" w:rsidRPr="00A03FDC" w:rsidRDefault="000F5FB6" w:rsidP="00A03FDC">
      <w:pPr>
        <w:numPr>
          <w:ilvl w:val="1"/>
          <w:numId w:val="4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Royal Tokaji (Hungary)</w:t>
      </w:r>
      <w:r w:rsidRPr="00A03FDC">
        <w:rPr>
          <w:rFonts w:asciiTheme="majorBidi" w:hAnsiTheme="majorBidi" w:cstheme="majorBidi"/>
          <w:sz w:val="36"/>
          <w:szCs w:val="36"/>
        </w:rPr>
        <w:t xml:space="preserve"> – Specializing in world-class sweet wines.</w:t>
      </w:r>
    </w:p>
    <w:p w14:paraId="0E490898" w14:textId="77777777" w:rsidR="000F5FB6" w:rsidRPr="00A03FDC" w:rsidRDefault="000F5FB6" w:rsidP="00A03FDC">
      <w:pPr>
        <w:numPr>
          <w:ilvl w:val="1"/>
          <w:numId w:val="4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A03FDC">
        <w:rPr>
          <w:rFonts w:asciiTheme="majorBidi" w:hAnsiTheme="majorBidi" w:cstheme="majorBidi"/>
          <w:i/>
          <w:iCs/>
          <w:sz w:val="36"/>
          <w:szCs w:val="36"/>
        </w:rPr>
        <w:t>Weingut</w:t>
      </w:r>
      <w:proofErr w:type="spellEnd"/>
      <w:r w:rsidRPr="00A03FDC">
        <w:rPr>
          <w:rFonts w:asciiTheme="majorBidi" w:hAnsiTheme="majorBidi" w:cstheme="majorBidi"/>
          <w:i/>
          <w:iCs/>
          <w:sz w:val="36"/>
          <w:szCs w:val="36"/>
        </w:rPr>
        <w:t xml:space="preserve"> Knoll (Austria)</w:t>
      </w:r>
      <w:r w:rsidRPr="00A03FDC">
        <w:rPr>
          <w:rFonts w:asciiTheme="majorBidi" w:hAnsiTheme="majorBidi" w:cstheme="majorBidi"/>
          <w:sz w:val="36"/>
          <w:szCs w:val="36"/>
        </w:rPr>
        <w:t xml:space="preserve"> – Known for high-end Grüner Veltliner and Riesling.</w:t>
      </w:r>
    </w:p>
    <w:p w14:paraId="22DB6A30" w14:textId="77777777" w:rsidR="000F5FB6" w:rsidRPr="00A03FDC" w:rsidRDefault="000F5FB6" w:rsidP="00A03FDC">
      <w:pPr>
        <w:numPr>
          <w:ilvl w:val="1"/>
          <w:numId w:val="4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Niepoort (Portugal)</w:t>
      </w:r>
      <w:r w:rsidRPr="00A03FDC">
        <w:rPr>
          <w:rFonts w:asciiTheme="majorBidi" w:hAnsiTheme="majorBidi" w:cstheme="majorBidi"/>
          <w:sz w:val="36"/>
          <w:szCs w:val="36"/>
        </w:rPr>
        <w:t xml:space="preserve"> – Famous for both Port and dry Douro wines.</w:t>
      </w:r>
    </w:p>
    <w:p w14:paraId="56858B67" w14:textId="77777777" w:rsidR="000F5FB6" w:rsidRPr="00A03FDC" w:rsidRDefault="000F5FB6" w:rsidP="00A03FDC">
      <w:pPr>
        <w:numPr>
          <w:ilvl w:val="1"/>
          <w:numId w:val="4"/>
        </w:numPr>
        <w:tabs>
          <w:tab w:val="clear" w:pos="1440"/>
          <w:tab w:val="num" w:pos="2160"/>
        </w:tabs>
        <w:ind w:left="216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i/>
          <w:iCs/>
          <w:sz w:val="36"/>
          <w:szCs w:val="36"/>
        </w:rPr>
        <w:t>Château Musar (Lebanon)</w:t>
      </w:r>
      <w:r w:rsidRPr="00A03FDC">
        <w:rPr>
          <w:rFonts w:asciiTheme="majorBidi" w:hAnsiTheme="majorBidi" w:cstheme="majorBidi"/>
          <w:sz w:val="36"/>
          <w:szCs w:val="36"/>
        </w:rPr>
        <w:t xml:space="preserve"> – One of the most internationally recognized Lebanese wineries.</w:t>
      </w:r>
    </w:p>
    <w:p w14:paraId="5C41D1B2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Key Takeaways for Sommeliers</w:t>
      </w:r>
    </w:p>
    <w:p w14:paraId="64168D5A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sz w:val="36"/>
          <w:szCs w:val="36"/>
        </w:rPr>
        <w:t>These lesser-known Old World wine regions present opportunities for sommeliers to introduce new and unique selections to their lists. From Greece’s volcanic whites to Hungary’s legendary sweet wines, these regions provide a wealth of history, indigenous varieties, and diverse terroirs.</w:t>
      </w:r>
    </w:p>
    <w:p w14:paraId="5039A0EB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b/>
          <w:bCs/>
          <w:sz w:val="36"/>
          <w:szCs w:val="36"/>
        </w:rPr>
        <w:t>Final Thoughts</w:t>
      </w:r>
    </w:p>
    <w:p w14:paraId="4DDF2E70" w14:textId="77777777" w:rsidR="000F5FB6" w:rsidRPr="00A03FDC" w:rsidRDefault="000F5FB6" w:rsidP="00A03FDC">
      <w:pPr>
        <w:ind w:left="720" w:right="5394"/>
        <w:rPr>
          <w:rFonts w:asciiTheme="majorBidi" w:hAnsiTheme="majorBidi" w:cstheme="majorBidi"/>
          <w:sz w:val="36"/>
          <w:szCs w:val="36"/>
        </w:rPr>
      </w:pPr>
      <w:r w:rsidRPr="00A03FDC">
        <w:rPr>
          <w:rFonts w:asciiTheme="majorBidi" w:hAnsiTheme="majorBidi" w:cstheme="majorBidi"/>
          <w:sz w:val="36"/>
          <w:szCs w:val="36"/>
        </w:rPr>
        <w:t>As global appreciation for lesser-known wine regions grows, these countries are stepping into the spotlight. Their dedication to preserving tradition while embracing modern winemaking techniques makes them invaluable for wine professionals and enthusiasts alike.</w:t>
      </w:r>
    </w:p>
    <w:p w14:paraId="5C48409C" w14:textId="77777777" w:rsidR="000F5FB6" w:rsidRPr="00A03FDC" w:rsidRDefault="000F5FB6">
      <w:pPr>
        <w:rPr>
          <w:rFonts w:asciiTheme="majorBidi" w:hAnsiTheme="majorBidi" w:cstheme="majorBidi"/>
        </w:rPr>
      </w:pPr>
    </w:p>
    <w:sectPr w:rsidR="000F5FB6" w:rsidRPr="00A0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6243"/>
    <w:multiLevelType w:val="multilevel"/>
    <w:tmpl w:val="EC9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1165B"/>
    <w:multiLevelType w:val="multilevel"/>
    <w:tmpl w:val="A81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841B2"/>
    <w:multiLevelType w:val="multilevel"/>
    <w:tmpl w:val="38FA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9701B"/>
    <w:multiLevelType w:val="multilevel"/>
    <w:tmpl w:val="1BE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156201">
    <w:abstractNumId w:val="1"/>
  </w:num>
  <w:num w:numId="2" w16cid:durableId="352806679">
    <w:abstractNumId w:val="2"/>
  </w:num>
  <w:num w:numId="3" w16cid:durableId="1918444498">
    <w:abstractNumId w:val="0"/>
  </w:num>
  <w:num w:numId="4" w16cid:durableId="68676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B6"/>
    <w:rsid w:val="00021285"/>
    <w:rsid w:val="000F5FB6"/>
    <w:rsid w:val="00471217"/>
    <w:rsid w:val="008A30FF"/>
    <w:rsid w:val="00A03FDC"/>
    <w:rsid w:val="00D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02B2"/>
  <w15:chartTrackingRefBased/>
  <w15:docId w15:val="{50518BCA-6ABA-45C8-A51B-82078E60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2025-03-05T20:18:00Z</dcterms:created>
  <dcterms:modified xsi:type="dcterms:W3CDTF">2026-01-10T18:33:00Z</dcterms:modified>
</cp:coreProperties>
</file>