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ADCB" w14:textId="4505F8D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t>Oregon’s Wine Regions</w:t>
      </w:r>
    </w:p>
    <w:p w14:paraId="1DA200FE" w14:textId="77777777" w:rsidR="00255EF9" w:rsidRPr="007A2157" w:rsidRDefault="00000000" w:rsidP="00255EF9">
      <w:pPr>
        <w:rPr>
          <w:rFonts w:ascii="Times New Roman" w:hAnsi="Times New Roman" w:cs="Times New Roman"/>
          <w:sz w:val="32"/>
          <w:szCs w:val="32"/>
        </w:rPr>
      </w:pPr>
      <w:r w:rsidRPr="007A2157">
        <w:rPr>
          <w:rFonts w:ascii="Times New Roman" w:hAnsi="Times New Roman" w:cs="Times New Roman"/>
          <w:sz w:val="32"/>
          <w:szCs w:val="32"/>
        </w:rPr>
        <w:pict w14:anchorId="181E51D8">
          <v:rect id="_x0000_i1025" style="width:0;height:1.5pt" o:hralign="center" o:hrstd="t" o:hr="t" fillcolor="#a0a0a0" stroked="f"/>
        </w:pict>
      </w:r>
    </w:p>
    <w:p w14:paraId="6B0CC53F" w14:textId="77777777" w:rsidR="00255EF9" w:rsidRPr="007A2157" w:rsidRDefault="00255EF9" w:rsidP="00255EF9">
      <w:pPr>
        <w:rPr>
          <w:rFonts w:ascii="Times New Roman" w:hAnsi="Times New Roman" w:cs="Times New Roman"/>
          <w:b/>
          <w:bCs/>
          <w:sz w:val="32"/>
          <w:szCs w:val="32"/>
        </w:rPr>
      </w:pPr>
      <w:r w:rsidRPr="007A2157">
        <w:rPr>
          <w:rFonts w:ascii="Times New Roman" w:hAnsi="Times New Roman" w:cs="Times New Roman"/>
          <w:b/>
          <w:bCs/>
          <w:sz w:val="32"/>
          <w:szCs w:val="32"/>
        </w:rPr>
        <w:t>1. Region Overview</w:t>
      </w:r>
    </w:p>
    <w:p w14:paraId="63F7EBD5"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sz w:val="32"/>
          <w:szCs w:val="32"/>
        </w:rPr>
        <w:t xml:space="preserve">Oregon, located in the Pacific Northwest of the United States, is bordered by Washington to the north, California to the south, and the Pacific Ocean to the west. The region’s defining feature is the </w:t>
      </w:r>
      <w:r w:rsidRPr="007A2157">
        <w:rPr>
          <w:rFonts w:ascii="Times New Roman" w:hAnsi="Times New Roman" w:cs="Times New Roman"/>
          <w:b/>
          <w:bCs/>
          <w:sz w:val="32"/>
          <w:szCs w:val="32"/>
        </w:rPr>
        <w:t>Willamette Valley</w:t>
      </w:r>
      <w:r w:rsidRPr="007A2157">
        <w:rPr>
          <w:rFonts w:ascii="Times New Roman" w:hAnsi="Times New Roman" w:cs="Times New Roman"/>
          <w:sz w:val="32"/>
          <w:szCs w:val="32"/>
        </w:rPr>
        <w:t>, a cool-climate corridor protected by the Coastal Range and Cascade Mountains, where marine air and rain shadows create ideal conditions for Burgundian varieties. Elevations range from 200 to 1,000 feet, with soils dominated by volcanic basalt, sedimentary loam, and ancient marine sediments.</w:t>
      </w:r>
    </w:p>
    <w:p w14:paraId="391F4496"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sz w:val="32"/>
          <w:szCs w:val="32"/>
        </w:rPr>
        <w:t xml:space="preserve">Though Oregon accounts for </w:t>
      </w:r>
      <w:r w:rsidRPr="007A2157">
        <w:rPr>
          <w:rFonts w:ascii="Times New Roman" w:hAnsi="Times New Roman" w:cs="Times New Roman"/>
          <w:b/>
          <w:bCs/>
          <w:sz w:val="32"/>
          <w:szCs w:val="32"/>
        </w:rPr>
        <w:t>less than 2% of U.S. wine production</w:t>
      </w:r>
      <w:r w:rsidRPr="007A2157">
        <w:rPr>
          <w:rFonts w:ascii="Times New Roman" w:hAnsi="Times New Roman" w:cs="Times New Roman"/>
          <w:sz w:val="32"/>
          <w:szCs w:val="32"/>
        </w:rPr>
        <w:t>, it is globally revered for its Pinot Noir and Chardonnay, often compared to Burgundy for elegance and complexity. The state’s 1,000+ wineries emphasize small-scale, terroir-driven production, with a strong focus on sustainability—over 50% of vineyards are certified organic or LIVE (Low Input Viticulture and Enology). Oregon’s reputation balances artisanal craftsmanship with pioneering spirit, solidified by its rapid rise from experimental plantings in the 1960s to a New World benchmark.</w:t>
      </w:r>
    </w:p>
    <w:p w14:paraId="7F971225" w14:textId="77777777" w:rsidR="00255EF9" w:rsidRPr="007A2157" w:rsidRDefault="00000000" w:rsidP="00255EF9">
      <w:pPr>
        <w:rPr>
          <w:rFonts w:ascii="Times New Roman" w:hAnsi="Times New Roman" w:cs="Times New Roman"/>
          <w:sz w:val="32"/>
          <w:szCs w:val="32"/>
        </w:rPr>
      </w:pPr>
      <w:r w:rsidRPr="007A2157">
        <w:rPr>
          <w:rFonts w:ascii="Times New Roman" w:hAnsi="Times New Roman" w:cs="Times New Roman"/>
          <w:sz w:val="32"/>
          <w:szCs w:val="32"/>
        </w:rPr>
        <w:pict w14:anchorId="5E368FE0">
          <v:rect id="_x0000_i1026" style="width:0;height:1.5pt" o:hralign="center" o:hrstd="t" o:hr="t" fillcolor="#a0a0a0" stroked="f"/>
        </w:pict>
      </w:r>
    </w:p>
    <w:p w14:paraId="61A0059B" w14:textId="77777777" w:rsidR="00255EF9" w:rsidRPr="007A2157" w:rsidRDefault="00255EF9" w:rsidP="00255EF9">
      <w:pPr>
        <w:rPr>
          <w:rFonts w:ascii="Times New Roman" w:hAnsi="Times New Roman" w:cs="Times New Roman"/>
          <w:b/>
          <w:bCs/>
          <w:sz w:val="32"/>
          <w:szCs w:val="32"/>
        </w:rPr>
      </w:pPr>
      <w:r w:rsidRPr="007A2157">
        <w:rPr>
          <w:rFonts w:ascii="Times New Roman" w:hAnsi="Times New Roman" w:cs="Times New Roman"/>
          <w:b/>
          <w:bCs/>
          <w:sz w:val="32"/>
          <w:szCs w:val="32"/>
        </w:rPr>
        <w:t>2. Key Grape Varieties</w:t>
      </w:r>
    </w:p>
    <w:p w14:paraId="5304085D"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t>Primary Red Varieties</w:t>
      </w:r>
      <w:r w:rsidRPr="007A2157">
        <w:rPr>
          <w:rFonts w:ascii="Times New Roman" w:hAnsi="Times New Roman" w:cs="Times New Roman"/>
          <w:sz w:val="32"/>
          <w:szCs w:val="32"/>
        </w:rPr>
        <w:t>:</w:t>
      </w:r>
    </w:p>
    <w:p w14:paraId="5CC1B7B1" w14:textId="77777777" w:rsidR="00255EF9" w:rsidRPr="007A2157" w:rsidRDefault="00255EF9" w:rsidP="00255EF9">
      <w:pPr>
        <w:numPr>
          <w:ilvl w:val="0"/>
          <w:numId w:val="1"/>
        </w:numPr>
        <w:rPr>
          <w:rFonts w:ascii="Times New Roman" w:hAnsi="Times New Roman" w:cs="Times New Roman"/>
          <w:sz w:val="32"/>
          <w:szCs w:val="32"/>
        </w:rPr>
      </w:pPr>
      <w:r w:rsidRPr="007A2157">
        <w:rPr>
          <w:rFonts w:ascii="Times New Roman" w:hAnsi="Times New Roman" w:cs="Times New Roman"/>
          <w:b/>
          <w:bCs/>
          <w:sz w:val="32"/>
          <w:szCs w:val="32"/>
        </w:rPr>
        <w:t>Pinot Noir</w:t>
      </w:r>
      <w:r w:rsidRPr="007A2157">
        <w:rPr>
          <w:rFonts w:ascii="Times New Roman" w:hAnsi="Times New Roman" w:cs="Times New Roman"/>
          <w:sz w:val="32"/>
          <w:szCs w:val="32"/>
        </w:rPr>
        <w:t>: The flagship grape, particularly in the Willamette Valley, offering red cherry, rose petal, and forest floor nuances with bright acidity.</w:t>
      </w:r>
    </w:p>
    <w:p w14:paraId="0EB0EE53" w14:textId="77777777" w:rsidR="00255EF9" w:rsidRPr="007A2157" w:rsidRDefault="00255EF9" w:rsidP="00255EF9">
      <w:pPr>
        <w:numPr>
          <w:ilvl w:val="0"/>
          <w:numId w:val="1"/>
        </w:numPr>
        <w:rPr>
          <w:rFonts w:ascii="Times New Roman" w:hAnsi="Times New Roman" w:cs="Times New Roman"/>
          <w:sz w:val="32"/>
          <w:szCs w:val="32"/>
        </w:rPr>
      </w:pPr>
      <w:r w:rsidRPr="007A2157">
        <w:rPr>
          <w:rFonts w:ascii="Times New Roman" w:hAnsi="Times New Roman" w:cs="Times New Roman"/>
          <w:b/>
          <w:bCs/>
          <w:sz w:val="32"/>
          <w:szCs w:val="32"/>
        </w:rPr>
        <w:t>Syrah</w:t>
      </w:r>
      <w:r w:rsidRPr="007A2157">
        <w:rPr>
          <w:rFonts w:ascii="Times New Roman" w:hAnsi="Times New Roman" w:cs="Times New Roman"/>
          <w:sz w:val="32"/>
          <w:szCs w:val="32"/>
        </w:rPr>
        <w:t>: Emerging in warmer Southern Oregon AVAs like Rogue Valley, showcasing blackberry, smoked meat, and violet notes.</w:t>
      </w:r>
    </w:p>
    <w:p w14:paraId="34B3A4A5"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lastRenderedPageBreak/>
        <w:t>Primary White Varieties</w:t>
      </w:r>
      <w:r w:rsidRPr="007A2157">
        <w:rPr>
          <w:rFonts w:ascii="Times New Roman" w:hAnsi="Times New Roman" w:cs="Times New Roman"/>
          <w:sz w:val="32"/>
          <w:szCs w:val="32"/>
        </w:rPr>
        <w:t>:</w:t>
      </w:r>
    </w:p>
    <w:p w14:paraId="6AC01426" w14:textId="77777777" w:rsidR="00255EF9" w:rsidRPr="007A2157" w:rsidRDefault="00255EF9" w:rsidP="00255EF9">
      <w:pPr>
        <w:numPr>
          <w:ilvl w:val="0"/>
          <w:numId w:val="2"/>
        </w:numPr>
        <w:rPr>
          <w:rFonts w:ascii="Times New Roman" w:hAnsi="Times New Roman" w:cs="Times New Roman"/>
          <w:sz w:val="32"/>
          <w:szCs w:val="32"/>
        </w:rPr>
      </w:pPr>
      <w:r w:rsidRPr="007A2157">
        <w:rPr>
          <w:rFonts w:ascii="Times New Roman" w:hAnsi="Times New Roman" w:cs="Times New Roman"/>
          <w:b/>
          <w:bCs/>
          <w:sz w:val="32"/>
          <w:szCs w:val="32"/>
        </w:rPr>
        <w:t>Pinot Gris</w:t>
      </w:r>
      <w:r w:rsidRPr="007A2157">
        <w:rPr>
          <w:rFonts w:ascii="Times New Roman" w:hAnsi="Times New Roman" w:cs="Times New Roman"/>
          <w:sz w:val="32"/>
          <w:szCs w:val="32"/>
        </w:rPr>
        <w:t>: Oregon’s most planted white, ranging from crisp, citrus-driven styles to textured, orchard fruit-forward versions.</w:t>
      </w:r>
    </w:p>
    <w:p w14:paraId="65D1D736" w14:textId="77777777" w:rsidR="00255EF9" w:rsidRPr="007A2157" w:rsidRDefault="00255EF9" w:rsidP="00255EF9">
      <w:pPr>
        <w:numPr>
          <w:ilvl w:val="0"/>
          <w:numId w:val="2"/>
        </w:numPr>
        <w:rPr>
          <w:rFonts w:ascii="Times New Roman" w:hAnsi="Times New Roman" w:cs="Times New Roman"/>
          <w:sz w:val="32"/>
          <w:szCs w:val="32"/>
        </w:rPr>
      </w:pPr>
      <w:r w:rsidRPr="007A2157">
        <w:rPr>
          <w:rFonts w:ascii="Times New Roman" w:hAnsi="Times New Roman" w:cs="Times New Roman"/>
          <w:b/>
          <w:bCs/>
          <w:sz w:val="32"/>
          <w:szCs w:val="32"/>
        </w:rPr>
        <w:t>Chardonnay</w:t>
      </w:r>
      <w:r w:rsidRPr="007A2157">
        <w:rPr>
          <w:rFonts w:ascii="Times New Roman" w:hAnsi="Times New Roman" w:cs="Times New Roman"/>
          <w:sz w:val="32"/>
          <w:szCs w:val="32"/>
        </w:rPr>
        <w:t>: Gaining acclaim in the Willamette Valley for balanced acidity and flavors of green apple, lemon zest, and wet stone.</w:t>
      </w:r>
    </w:p>
    <w:p w14:paraId="3E3A118D"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t>Heritage/Notable Varieties</w:t>
      </w:r>
      <w:r w:rsidRPr="007A2157">
        <w:rPr>
          <w:rFonts w:ascii="Times New Roman" w:hAnsi="Times New Roman" w:cs="Times New Roman"/>
          <w:sz w:val="32"/>
          <w:szCs w:val="32"/>
        </w:rPr>
        <w:t>:</w:t>
      </w:r>
    </w:p>
    <w:p w14:paraId="54C02D61" w14:textId="77777777" w:rsidR="00255EF9" w:rsidRPr="007A2157" w:rsidRDefault="00255EF9" w:rsidP="00255EF9">
      <w:pPr>
        <w:numPr>
          <w:ilvl w:val="0"/>
          <w:numId w:val="3"/>
        </w:numPr>
        <w:rPr>
          <w:rFonts w:ascii="Times New Roman" w:hAnsi="Times New Roman" w:cs="Times New Roman"/>
          <w:sz w:val="32"/>
          <w:szCs w:val="32"/>
        </w:rPr>
      </w:pPr>
      <w:r w:rsidRPr="007A2157">
        <w:rPr>
          <w:rFonts w:ascii="Times New Roman" w:hAnsi="Times New Roman" w:cs="Times New Roman"/>
          <w:b/>
          <w:bCs/>
          <w:sz w:val="32"/>
          <w:szCs w:val="32"/>
        </w:rPr>
        <w:t>Riesling</w:t>
      </w:r>
      <w:r w:rsidRPr="007A2157">
        <w:rPr>
          <w:rFonts w:ascii="Times New Roman" w:hAnsi="Times New Roman" w:cs="Times New Roman"/>
          <w:sz w:val="32"/>
          <w:szCs w:val="32"/>
        </w:rPr>
        <w:t>: Thrives in cooler pockets like the Columbia Gorge, producing dry to off-</w:t>
      </w:r>
      <w:proofErr w:type="spellStart"/>
      <w:r w:rsidRPr="007A2157">
        <w:rPr>
          <w:rFonts w:ascii="Times New Roman" w:hAnsi="Times New Roman" w:cs="Times New Roman"/>
          <w:sz w:val="32"/>
          <w:szCs w:val="32"/>
        </w:rPr>
        <w:t>dungarunga</w:t>
      </w:r>
      <w:proofErr w:type="spellEnd"/>
      <w:r w:rsidRPr="007A2157">
        <w:rPr>
          <w:rFonts w:ascii="Times New Roman" w:hAnsi="Times New Roman" w:cs="Times New Roman"/>
          <w:sz w:val="32"/>
          <w:szCs w:val="32"/>
        </w:rPr>
        <w:t>-dry styles with floral and mineral notes.</w:t>
      </w:r>
    </w:p>
    <w:p w14:paraId="6B99D64D" w14:textId="77777777" w:rsidR="00255EF9" w:rsidRPr="007A2157" w:rsidRDefault="00255EF9" w:rsidP="00255EF9">
      <w:pPr>
        <w:numPr>
          <w:ilvl w:val="0"/>
          <w:numId w:val="3"/>
        </w:numPr>
        <w:rPr>
          <w:rFonts w:ascii="Times New Roman" w:hAnsi="Times New Roman" w:cs="Times New Roman"/>
          <w:sz w:val="32"/>
          <w:szCs w:val="32"/>
        </w:rPr>
      </w:pPr>
      <w:r w:rsidRPr="007A2157">
        <w:rPr>
          <w:rFonts w:ascii="Times New Roman" w:hAnsi="Times New Roman" w:cs="Times New Roman"/>
          <w:b/>
          <w:bCs/>
          <w:sz w:val="32"/>
          <w:szCs w:val="32"/>
        </w:rPr>
        <w:t>Gamay</w:t>
      </w:r>
      <w:r w:rsidRPr="007A2157">
        <w:rPr>
          <w:rFonts w:ascii="Times New Roman" w:hAnsi="Times New Roman" w:cs="Times New Roman"/>
          <w:sz w:val="32"/>
          <w:szCs w:val="32"/>
        </w:rPr>
        <w:t>: Revived by avant-garde producers for light, vibrant reds.</w:t>
      </w:r>
    </w:p>
    <w:p w14:paraId="07BF2FAD"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t>International Varieties</w:t>
      </w:r>
      <w:r w:rsidRPr="007A2157">
        <w:rPr>
          <w:rFonts w:ascii="Times New Roman" w:hAnsi="Times New Roman" w:cs="Times New Roman"/>
          <w:sz w:val="32"/>
          <w:szCs w:val="32"/>
        </w:rPr>
        <w:t>:</w:t>
      </w:r>
    </w:p>
    <w:p w14:paraId="4C94C24F" w14:textId="77777777" w:rsidR="00255EF9" w:rsidRPr="007A2157" w:rsidRDefault="00255EF9" w:rsidP="00255EF9">
      <w:pPr>
        <w:numPr>
          <w:ilvl w:val="0"/>
          <w:numId w:val="4"/>
        </w:numPr>
        <w:rPr>
          <w:rFonts w:ascii="Times New Roman" w:hAnsi="Times New Roman" w:cs="Times New Roman"/>
          <w:sz w:val="32"/>
          <w:szCs w:val="32"/>
        </w:rPr>
      </w:pPr>
      <w:r w:rsidRPr="007A2157">
        <w:rPr>
          <w:rFonts w:ascii="Times New Roman" w:hAnsi="Times New Roman" w:cs="Times New Roman"/>
          <w:b/>
          <w:bCs/>
          <w:sz w:val="32"/>
          <w:szCs w:val="32"/>
        </w:rPr>
        <w:t>Tempranillo and Viognier</w:t>
      </w:r>
      <w:r w:rsidRPr="007A2157">
        <w:rPr>
          <w:rFonts w:ascii="Times New Roman" w:hAnsi="Times New Roman" w:cs="Times New Roman"/>
          <w:sz w:val="32"/>
          <w:szCs w:val="32"/>
        </w:rPr>
        <w:t>: Experimented with in Southern Oregon’s warmer AVAs.</w:t>
      </w:r>
    </w:p>
    <w:p w14:paraId="01EF2EF7" w14:textId="77777777" w:rsidR="00255EF9" w:rsidRPr="007A2157" w:rsidRDefault="00000000" w:rsidP="00255EF9">
      <w:pPr>
        <w:rPr>
          <w:rFonts w:ascii="Times New Roman" w:hAnsi="Times New Roman" w:cs="Times New Roman"/>
          <w:sz w:val="32"/>
          <w:szCs w:val="32"/>
        </w:rPr>
      </w:pPr>
      <w:r w:rsidRPr="007A2157">
        <w:rPr>
          <w:rFonts w:ascii="Times New Roman" w:hAnsi="Times New Roman" w:cs="Times New Roman"/>
          <w:sz w:val="32"/>
          <w:szCs w:val="32"/>
        </w:rPr>
        <w:pict w14:anchorId="6E3A7E5B">
          <v:rect id="_x0000_i1027" style="width:0;height:1.5pt" o:hralign="center" o:hrstd="t" o:hr="t" fillcolor="#a0a0a0" stroked="f"/>
        </w:pict>
      </w:r>
    </w:p>
    <w:p w14:paraId="4FE95A2C" w14:textId="77777777" w:rsidR="00255EF9" w:rsidRPr="007A2157" w:rsidRDefault="00255EF9" w:rsidP="00255EF9">
      <w:pPr>
        <w:rPr>
          <w:rFonts w:ascii="Times New Roman" w:hAnsi="Times New Roman" w:cs="Times New Roman"/>
          <w:b/>
          <w:bCs/>
          <w:sz w:val="32"/>
          <w:szCs w:val="32"/>
        </w:rPr>
      </w:pPr>
      <w:r w:rsidRPr="007A2157">
        <w:rPr>
          <w:rFonts w:ascii="Times New Roman" w:hAnsi="Times New Roman" w:cs="Times New Roman"/>
          <w:b/>
          <w:bCs/>
          <w:sz w:val="32"/>
          <w:szCs w:val="32"/>
        </w:rPr>
        <w:t>3. Wine Classification System</w:t>
      </w:r>
    </w:p>
    <w:p w14:paraId="46353CC7"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sz w:val="32"/>
          <w:szCs w:val="32"/>
        </w:rPr>
        <w:t xml:space="preserve">Oregon uses the </w:t>
      </w:r>
      <w:r w:rsidRPr="007A2157">
        <w:rPr>
          <w:rFonts w:ascii="Times New Roman" w:hAnsi="Times New Roman" w:cs="Times New Roman"/>
          <w:b/>
          <w:bCs/>
          <w:sz w:val="32"/>
          <w:szCs w:val="32"/>
        </w:rPr>
        <w:t>AVA system</w:t>
      </w:r>
      <w:r w:rsidRPr="007A2157">
        <w:rPr>
          <w:rFonts w:ascii="Times New Roman" w:hAnsi="Times New Roman" w:cs="Times New Roman"/>
          <w:sz w:val="32"/>
          <w:szCs w:val="32"/>
        </w:rPr>
        <w:t>, with strict labeling laws (e.g., 90% of grapes must come from the stated AVA). Key AVAs include:</w:t>
      </w:r>
    </w:p>
    <w:p w14:paraId="03697344" w14:textId="77777777" w:rsidR="00255EF9" w:rsidRPr="007A2157" w:rsidRDefault="00255EF9" w:rsidP="00255EF9">
      <w:pPr>
        <w:numPr>
          <w:ilvl w:val="0"/>
          <w:numId w:val="5"/>
        </w:numPr>
        <w:rPr>
          <w:rFonts w:ascii="Times New Roman" w:hAnsi="Times New Roman" w:cs="Times New Roman"/>
          <w:sz w:val="32"/>
          <w:szCs w:val="32"/>
        </w:rPr>
      </w:pPr>
      <w:r w:rsidRPr="007A2157">
        <w:rPr>
          <w:rFonts w:ascii="Times New Roman" w:hAnsi="Times New Roman" w:cs="Times New Roman"/>
          <w:b/>
          <w:bCs/>
          <w:sz w:val="32"/>
          <w:szCs w:val="32"/>
        </w:rPr>
        <w:t>Willamette Valley</w:t>
      </w:r>
      <w:r w:rsidRPr="007A2157">
        <w:rPr>
          <w:rFonts w:ascii="Times New Roman" w:hAnsi="Times New Roman" w:cs="Times New Roman"/>
          <w:sz w:val="32"/>
          <w:szCs w:val="32"/>
        </w:rPr>
        <w:t xml:space="preserve">: The heartland, divided into </w:t>
      </w:r>
      <w:r w:rsidRPr="007A2157">
        <w:rPr>
          <w:rFonts w:ascii="Times New Roman" w:hAnsi="Times New Roman" w:cs="Times New Roman"/>
          <w:b/>
          <w:bCs/>
          <w:sz w:val="32"/>
          <w:szCs w:val="32"/>
        </w:rPr>
        <w:t>sub-AVAs</w:t>
      </w:r>
      <w:r w:rsidRPr="007A2157">
        <w:rPr>
          <w:rFonts w:ascii="Times New Roman" w:hAnsi="Times New Roman" w:cs="Times New Roman"/>
          <w:sz w:val="32"/>
          <w:szCs w:val="32"/>
        </w:rPr>
        <w:t xml:space="preserve"> like Dundee Hills (volcanic soils), Ribbon Ridge (marine sediments), and Eola-Amity Hills (wind-cooled slopes).</w:t>
      </w:r>
    </w:p>
    <w:p w14:paraId="7F77AA6D" w14:textId="77777777" w:rsidR="00255EF9" w:rsidRPr="007A2157" w:rsidRDefault="00255EF9" w:rsidP="00255EF9">
      <w:pPr>
        <w:numPr>
          <w:ilvl w:val="0"/>
          <w:numId w:val="5"/>
        </w:numPr>
        <w:rPr>
          <w:rFonts w:ascii="Times New Roman" w:hAnsi="Times New Roman" w:cs="Times New Roman"/>
          <w:sz w:val="32"/>
          <w:szCs w:val="32"/>
        </w:rPr>
      </w:pPr>
      <w:r w:rsidRPr="007A2157">
        <w:rPr>
          <w:rFonts w:ascii="Times New Roman" w:hAnsi="Times New Roman" w:cs="Times New Roman"/>
          <w:b/>
          <w:bCs/>
          <w:sz w:val="32"/>
          <w:szCs w:val="32"/>
        </w:rPr>
        <w:t>Rogue Valley</w:t>
      </w:r>
      <w:r w:rsidRPr="007A2157">
        <w:rPr>
          <w:rFonts w:ascii="Times New Roman" w:hAnsi="Times New Roman" w:cs="Times New Roman"/>
          <w:sz w:val="32"/>
          <w:szCs w:val="32"/>
        </w:rPr>
        <w:t>: Southern Oregon’s warmest AVA, ideal for Syrah and Cabernet Franc.</w:t>
      </w:r>
    </w:p>
    <w:p w14:paraId="2CD216AD" w14:textId="77777777" w:rsidR="00255EF9" w:rsidRPr="007A2157" w:rsidRDefault="00255EF9" w:rsidP="00255EF9">
      <w:pPr>
        <w:numPr>
          <w:ilvl w:val="0"/>
          <w:numId w:val="5"/>
        </w:numPr>
        <w:rPr>
          <w:rFonts w:ascii="Times New Roman" w:hAnsi="Times New Roman" w:cs="Times New Roman"/>
          <w:sz w:val="32"/>
          <w:szCs w:val="32"/>
        </w:rPr>
      </w:pPr>
      <w:r w:rsidRPr="007A2157">
        <w:rPr>
          <w:rFonts w:ascii="Times New Roman" w:hAnsi="Times New Roman" w:cs="Times New Roman"/>
          <w:b/>
          <w:bCs/>
          <w:sz w:val="32"/>
          <w:szCs w:val="32"/>
        </w:rPr>
        <w:t>Umpqua Valley</w:t>
      </w:r>
      <w:r w:rsidRPr="007A2157">
        <w:rPr>
          <w:rFonts w:ascii="Times New Roman" w:hAnsi="Times New Roman" w:cs="Times New Roman"/>
          <w:sz w:val="32"/>
          <w:szCs w:val="32"/>
        </w:rPr>
        <w:t>: Diverse microclimates support everything from Pinot Noir to Tempranillo.</w:t>
      </w:r>
    </w:p>
    <w:p w14:paraId="12BCC716" w14:textId="77777777" w:rsidR="00255EF9" w:rsidRPr="007A2157" w:rsidRDefault="00255EF9" w:rsidP="00255EF9">
      <w:pPr>
        <w:numPr>
          <w:ilvl w:val="0"/>
          <w:numId w:val="5"/>
        </w:numPr>
        <w:rPr>
          <w:rFonts w:ascii="Times New Roman" w:hAnsi="Times New Roman" w:cs="Times New Roman"/>
          <w:sz w:val="32"/>
          <w:szCs w:val="32"/>
        </w:rPr>
      </w:pPr>
      <w:r w:rsidRPr="007A2157">
        <w:rPr>
          <w:rFonts w:ascii="Times New Roman" w:hAnsi="Times New Roman" w:cs="Times New Roman"/>
          <w:b/>
          <w:bCs/>
          <w:sz w:val="32"/>
          <w:szCs w:val="32"/>
        </w:rPr>
        <w:lastRenderedPageBreak/>
        <w:t>Columbia Gorge</w:t>
      </w:r>
      <w:r w:rsidRPr="007A2157">
        <w:rPr>
          <w:rFonts w:ascii="Times New Roman" w:hAnsi="Times New Roman" w:cs="Times New Roman"/>
          <w:sz w:val="32"/>
          <w:szCs w:val="32"/>
        </w:rPr>
        <w:t>: High-elevation sites with crisp whites and aromatic reds.</w:t>
      </w:r>
    </w:p>
    <w:p w14:paraId="6F2E6178" w14:textId="77777777" w:rsidR="00255EF9" w:rsidRPr="007A2157" w:rsidRDefault="00000000" w:rsidP="00255EF9">
      <w:pPr>
        <w:rPr>
          <w:rFonts w:ascii="Times New Roman" w:hAnsi="Times New Roman" w:cs="Times New Roman"/>
          <w:sz w:val="32"/>
          <w:szCs w:val="32"/>
        </w:rPr>
      </w:pPr>
      <w:r w:rsidRPr="007A2157">
        <w:rPr>
          <w:rFonts w:ascii="Times New Roman" w:hAnsi="Times New Roman" w:cs="Times New Roman"/>
          <w:sz w:val="32"/>
          <w:szCs w:val="32"/>
        </w:rPr>
        <w:pict w14:anchorId="550E5E2C">
          <v:rect id="_x0000_i1028" style="width:0;height:1.5pt" o:hralign="center" o:hrstd="t" o:hr="t" fillcolor="#a0a0a0" stroked="f"/>
        </w:pict>
      </w:r>
    </w:p>
    <w:p w14:paraId="615E2790" w14:textId="77777777" w:rsidR="00255EF9" w:rsidRPr="007A2157" w:rsidRDefault="00255EF9" w:rsidP="00255EF9">
      <w:pPr>
        <w:rPr>
          <w:rFonts w:ascii="Times New Roman" w:hAnsi="Times New Roman" w:cs="Times New Roman"/>
          <w:b/>
          <w:bCs/>
          <w:sz w:val="32"/>
          <w:szCs w:val="32"/>
        </w:rPr>
      </w:pPr>
      <w:r w:rsidRPr="007A2157">
        <w:rPr>
          <w:rFonts w:ascii="Times New Roman" w:hAnsi="Times New Roman" w:cs="Times New Roman"/>
          <w:b/>
          <w:bCs/>
          <w:sz w:val="32"/>
          <w:szCs w:val="32"/>
        </w:rPr>
        <w:t>4. Notable Wine Styles</w:t>
      </w:r>
    </w:p>
    <w:p w14:paraId="74209999" w14:textId="77777777" w:rsidR="00255EF9" w:rsidRPr="007A2157" w:rsidRDefault="00255EF9" w:rsidP="00255EF9">
      <w:pPr>
        <w:rPr>
          <w:rFonts w:ascii="Times New Roman" w:hAnsi="Times New Roman" w:cs="Times New Roman"/>
          <w:b/>
          <w:bCs/>
          <w:sz w:val="32"/>
          <w:szCs w:val="32"/>
        </w:rPr>
      </w:pPr>
      <w:r w:rsidRPr="007A2157">
        <w:rPr>
          <w:rFonts w:ascii="Times New Roman" w:hAnsi="Times New Roman" w:cs="Times New Roman"/>
          <w:b/>
          <w:bCs/>
          <w:sz w:val="32"/>
          <w:szCs w:val="32"/>
        </w:rPr>
        <w:t>Willamette Valley Pinot Noir (AVA)</w:t>
      </w:r>
    </w:p>
    <w:p w14:paraId="21B17E11" w14:textId="77777777" w:rsidR="00255EF9" w:rsidRPr="007A2157" w:rsidRDefault="00255EF9" w:rsidP="00255EF9">
      <w:pPr>
        <w:numPr>
          <w:ilvl w:val="0"/>
          <w:numId w:val="6"/>
        </w:numPr>
        <w:rPr>
          <w:rFonts w:ascii="Times New Roman" w:hAnsi="Times New Roman" w:cs="Times New Roman"/>
          <w:sz w:val="32"/>
          <w:szCs w:val="32"/>
        </w:rPr>
      </w:pPr>
      <w:r w:rsidRPr="007A2157">
        <w:rPr>
          <w:rFonts w:ascii="Times New Roman" w:hAnsi="Times New Roman" w:cs="Times New Roman"/>
          <w:b/>
          <w:bCs/>
          <w:sz w:val="32"/>
          <w:szCs w:val="32"/>
        </w:rPr>
        <w:t>Composition</w:t>
      </w:r>
      <w:r w:rsidRPr="007A2157">
        <w:rPr>
          <w:rFonts w:ascii="Times New Roman" w:hAnsi="Times New Roman" w:cs="Times New Roman"/>
          <w:sz w:val="32"/>
          <w:szCs w:val="32"/>
        </w:rPr>
        <w:t>: 100% Pinot Noir (minimum 90% per labeling laws).</w:t>
      </w:r>
    </w:p>
    <w:p w14:paraId="313E12D7" w14:textId="77777777" w:rsidR="00255EF9" w:rsidRPr="007A2157" w:rsidRDefault="00255EF9" w:rsidP="00255EF9">
      <w:pPr>
        <w:numPr>
          <w:ilvl w:val="0"/>
          <w:numId w:val="6"/>
        </w:numPr>
        <w:rPr>
          <w:rFonts w:ascii="Times New Roman" w:hAnsi="Times New Roman" w:cs="Times New Roman"/>
          <w:sz w:val="32"/>
          <w:szCs w:val="32"/>
        </w:rPr>
      </w:pPr>
      <w:r w:rsidRPr="007A2157">
        <w:rPr>
          <w:rFonts w:ascii="Times New Roman" w:hAnsi="Times New Roman" w:cs="Times New Roman"/>
          <w:b/>
          <w:bCs/>
          <w:sz w:val="32"/>
          <w:szCs w:val="32"/>
        </w:rPr>
        <w:t>Production Method</w:t>
      </w:r>
      <w:r w:rsidRPr="007A2157">
        <w:rPr>
          <w:rFonts w:ascii="Times New Roman" w:hAnsi="Times New Roman" w:cs="Times New Roman"/>
          <w:sz w:val="32"/>
          <w:szCs w:val="32"/>
        </w:rPr>
        <w:t>: Hand-harvested, whole-cluster fermentation, aging in French oak (20–40% new).</w:t>
      </w:r>
    </w:p>
    <w:p w14:paraId="35659294" w14:textId="77777777" w:rsidR="00255EF9" w:rsidRPr="007A2157" w:rsidRDefault="00255EF9" w:rsidP="00255EF9">
      <w:pPr>
        <w:numPr>
          <w:ilvl w:val="0"/>
          <w:numId w:val="6"/>
        </w:numPr>
        <w:rPr>
          <w:rFonts w:ascii="Times New Roman" w:hAnsi="Times New Roman" w:cs="Times New Roman"/>
          <w:sz w:val="32"/>
          <w:szCs w:val="32"/>
        </w:rPr>
      </w:pPr>
      <w:r w:rsidRPr="007A2157">
        <w:rPr>
          <w:rFonts w:ascii="Times New Roman" w:hAnsi="Times New Roman" w:cs="Times New Roman"/>
          <w:b/>
          <w:bCs/>
          <w:sz w:val="32"/>
          <w:szCs w:val="32"/>
        </w:rPr>
        <w:t>Aging Requirements</w:t>
      </w:r>
      <w:r w:rsidRPr="007A2157">
        <w:rPr>
          <w:rFonts w:ascii="Times New Roman" w:hAnsi="Times New Roman" w:cs="Times New Roman"/>
          <w:sz w:val="32"/>
          <w:szCs w:val="32"/>
        </w:rPr>
        <w:t>: 10–18 months in barrel; “Reserve” wines age 18–24 months.</w:t>
      </w:r>
    </w:p>
    <w:p w14:paraId="14B514C1" w14:textId="77777777" w:rsidR="00255EF9" w:rsidRPr="007A2157" w:rsidRDefault="00255EF9" w:rsidP="00255EF9">
      <w:pPr>
        <w:numPr>
          <w:ilvl w:val="0"/>
          <w:numId w:val="6"/>
        </w:numPr>
        <w:rPr>
          <w:rFonts w:ascii="Times New Roman" w:hAnsi="Times New Roman" w:cs="Times New Roman"/>
          <w:sz w:val="32"/>
          <w:szCs w:val="32"/>
        </w:rPr>
      </w:pPr>
      <w:r w:rsidRPr="007A2157">
        <w:rPr>
          <w:rFonts w:ascii="Times New Roman" w:hAnsi="Times New Roman" w:cs="Times New Roman"/>
          <w:b/>
          <w:bCs/>
          <w:sz w:val="32"/>
          <w:szCs w:val="32"/>
        </w:rPr>
        <w:t>Alcohol Content</w:t>
      </w:r>
      <w:r w:rsidRPr="007A2157">
        <w:rPr>
          <w:rFonts w:ascii="Times New Roman" w:hAnsi="Times New Roman" w:cs="Times New Roman"/>
          <w:sz w:val="32"/>
          <w:szCs w:val="32"/>
        </w:rPr>
        <w:t>: 12.5–14.5% ABV.</w:t>
      </w:r>
    </w:p>
    <w:p w14:paraId="01E9F38E" w14:textId="77777777" w:rsidR="00255EF9" w:rsidRPr="007A2157" w:rsidRDefault="00255EF9" w:rsidP="00255EF9">
      <w:pPr>
        <w:numPr>
          <w:ilvl w:val="0"/>
          <w:numId w:val="6"/>
        </w:numPr>
        <w:rPr>
          <w:rFonts w:ascii="Times New Roman" w:hAnsi="Times New Roman" w:cs="Times New Roman"/>
          <w:sz w:val="32"/>
          <w:szCs w:val="32"/>
        </w:rPr>
      </w:pPr>
      <w:r w:rsidRPr="007A2157">
        <w:rPr>
          <w:rFonts w:ascii="Times New Roman" w:hAnsi="Times New Roman" w:cs="Times New Roman"/>
          <w:b/>
          <w:bCs/>
          <w:sz w:val="32"/>
          <w:szCs w:val="32"/>
        </w:rPr>
        <w:t>Organoleptic Profile</w:t>
      </w:r>
      <w:r w:rsidRPr="007A2157">
        <w:rPr>
          <w:rFonts w:ascii="Times New Roman" w:hAnsi="Times New Roman" w:cs="Times New Roman"/>
          <w:sz w:val="32"/>
          <w:szCs w:val="32"/>
        </w:rPr>
        <w:t>: Red cherry, hibiscus, truffle, and silky tannins.</w:t>
      </w:r>
    </w:p>
    <w:p w14:paraId="07312DFC" w14:textId="77777777" w:rsidR="00255EF9" w:rsidRPr="007A2157" w:rsidRDefault="00255EF9" w:rsidP="00255EF9">
      <w:pPr>
        <w:numPr>
          <w:ilvl w:val="0"/>
          <w:numId w:val="6"/>
        </w:numPr>
        <w:rPr>
          <w:rFonts w:ascii="Times New Roman" w:hAnsi="Times New Roman" w:cs="Times New Roman"/>
          <w:sz w:val="32"/>
          <w:szCs w:val="32"/>
        </w:rPr>
      </w:pPr>
      <w:r w:rsidRPr="007A2157">
        <w:rPr>
          <w:rFonts w:ascii="Times New Roman" w:hAnsi="Times New Roman" w:cs="Times New Roman"/>
          <w:b/>
          <w:bCs/>
          <w:sz w:val="32"/>
          <w:szCs w:val="32"/>
        </w:rPr>
        <w:t>Market Position</w:t>
      </w:r>
      <w:r w:rsidRPr="007A2157">
        <w:rPr>
          <w:rFonts w:ascii="Times New Roman" w:hAnsi="Times New Roman" w:cs="Times New Roman"/>
          <w:sz w:val="32"/>
          <w:szCs w:val="32"/>
        </w:rPr>
        <w:t>: Compared to Burgundy’s Côte de Nuits, but with New World fruit intensity and accessibility.</w:t>
      </w:r>
    </w:p>
    <w:p w14:paraId="04BDD426" w14:textId="77777777" w:rsidR="00255EF9" w:rsidRPr="007A2157" w:rsidRDefault="00255EF9" w:rsidP="00255EF9">
      <w:pPr>
        <w:rPr>
          <w:rFonts w:ascii="Times New Roman" w:hAnsi="Times New Roman" w:cs="Times New Roman"/>
          <w:b/>
          <w:bCs/>
          <w:sz w:val="32"/>
          <w:szCs w:val="32"/>
        </w:rPr>
      </w:pPr>
      <w:r w:rsidRPr="007A2157">
        <w:rPr>
          <w:rFonts w:ascii="Times New Roman" w:hAnsi="Times New Roman" w:cs="Times New Roman"/>
          <w:b/>
          <w:bCs/>
          <w:sz w:val="32"/>
          <w:szCs w:val="32"/>
        </w:rPr>
        <w:t>Dundee Hills Chardonnay (AVA)</w:t>
      </w:r>
    </w:p>
    <w:p w14:paraId="018077BD" w14:textId="77777777" w:rsidR="00255EF9" w:rsidRPr="007A2157" w:rsidRDefault="00255EF9" w:rsidP="00255EF9">
      <w:pPr>
        <w:numPr>
          <w:ilvl w:val="0"/>
          <w:numId w:val="7"/>
        </w:numPr>
        <w:rPr>
          <w:rFonts w:ascii="Times New Roman" w:hAnsi="Times New Roman" w:cs="Times New Roman"/>
          <w:sz w:val="32"/>
          <w:szCs w:val="32"/>
        </w:rPr>
      </w:pPr>
      <w:r w:rsidRPr="007A2157">
        <w:rPr>
          <w:rFonts w:ascii="Times New Roman" w:hAnsi="Times New Roman" w:cs="Times New Roman"/>
          <w:b/>
          <w:bCs/>
          <w:sz w:val="32"/>
          <w:szCs w:val="32"/>
        </w:rPr>
        <w:t>Composition</w:t>
      </w:r>
      <w:r w:rsidRPr="007A2157">
        <w:rPr>
          <w:rFonts w:ascii="Times New Roman" w:hAnsi="Times New Roman" w:cs="Times New Roman"/>
          <w:sz w:val="32"/>
          <w:szCs w:val="32"/>
        </w:rPr>
        <w:t>: 100% Chardonnay, often Dijon clones.</w:t>
      </w:r>
    </w:p>
    <w:p w14:paraId="387E2BE3" w14:textId="77777777" w:rsidR="00255EF9" w:rsidRPr="007A2157" w:rsidRDefault="00255EF9" w:rsidP="00255EF9">
      <w:pPr>
        <w:numPr>
          <w:ilvl w:val="0"/>
          <w:numId w:val="7"/>
        </w:numPr>
        <w:rPr>
          <w:rFonts w:ascii="Times New Roman" w:hAnsi="Times New Roman" w:cs="Times New Roman"/>
          <w:sz w:val="32"/>
          <w:szCs w:val="32"/>
        </w:rPr>
      </w:pPr>
      <w:r w:rsidRPr="007A2157">
        <w:rPr>
          <w:rFonts w:ascii="Times New Roman" w:hAnsi="Times New Roman" w:cs="Times New Roman"/>
          <w:b/>
          <w:bCs/>
          <w:sz w:val="32"/>
          <w:szCs w:val="32"/>
        </w:rPr>
        <w:t>Production Method</w:t>
      </w:r>
      <w:r w:rsidRPr="007A2157">
        <w:rPr>
          <w:rFonts w:ascii="Times New Roman" w:hAnsi="Times New Roman" w:cs="Times New Roman"/>
          <w:sz w:val="32"/>
          <w:szCs w:val="32"/>
        </w:rPr>
        <w:t>: Native yeast fermentation, partial malolactic conversion, aging in neutral oak.</w:t>
      </w:r>
    </w:p>
    <w:p w14:paraId="5B666611" w14:textId="77777777" w:rsidR="00255EF9" w:rsidRPr="007A2157" w:rsidRDefault="00255EF9" w:rsidP="00255EF9">
      <w:pPr>
        <w:numPr>
          <w:ilvl w:val="0"/>
          <w:numId w:val="7"/>
        </w:numPr>
        <w:rPr>
          <w:rFonts w:ascii="Times New Roman" w:hAnsi="Times New Roman" w:cs="Times New Roman"/>
          <w:sz w:val="32"/>
          <w:szCs w:val="32"/>
        </w:rPr>
      </w:pPr>
      <w:r w:rsidRPr="007A2157">
        <w:rPr>
          <w:rFonts w:ascii="Times New Roman" w:hAnsi="Times New Roman" w:cs="Times New Roman"/>
          <w:b/>
          <w:bCs/>
          <w:sz w:val="32"/>
          <w:szCs w:val="32"/>
        </w:rPr>
        <w:t>Alcohol Content</w:t>
      </w:r>
      <w:r w:rsidRPr="007A2157">
        <w:rPr>
          <w:rFonts w:ascii="Times New Roman" w:hAnsi="Times New Roman" w:cs="Times New Roman"/>
          <w:sz w:val="32"/>
          <w:szCs w:val="32"/>
        </w:rPr>
        <w:t>: 13–14% ABV.</w:t>
      </w:r>
    </w:p>
    <w:p w14:paraId="026682A1" w14:textId="77777777" w:rsidR="00255EF9" w:rsidRPr="007A2157" w:rsidRDefault="00255EF9" w:rsidP="00255EF9">
      <w:pPr>
        <w:numPr>
          <w:ilvl w:val="0"/>
          <w:numId w:val="7"/>
        </w:numPr>
        <w:rPr>
          <w:rFonts w:ascii="Times New Roman" w:hAnsi="Times New Roman" w:cs="Times New Roman"/>
          <w:sz w:val="32"/>
          <w:szCs w:val="32"/>
        </w:rPr>
      </w:pPr>
      <w:r w:rsidRPr="007A2157">
        <w:rPr>
          <w:rFonts w:ascii="Times New Roman" w:hAnsi="Times New Roman" w:cs="Times New Roman"/>
          <w:b/>
          <w:bCs/>
          <w:sz w:val="32"/>
          <w:szCs w:val="32"/>
        </w:rPr>
        <w:t>Organoleptic Profile</w:t>
      </w:r>
      <w:r w:rsidRPr="007A2157">
        <w:rPr>
          <w:rFonts w:ascii="Times New Roman" w:hAnsi="Times New Roman" w:cs="Times New Roman"/>
          <w:sz w:val="32"/>
          <w:szCs w:val="32"/>
        </w:rPr>
        <w:t>: Green apple, lemon curd, and flint, with a creamy mid-palate.</w:t>
      </w:r>
    </w:p>
    <w:p w14:paraId="31AE15E8" w14:textId="77777777" w:rsidR="00255EF9" w:rsidRPr="007A2157" w:rsidRDefault="00255EF9" w:rsidP="00255EF9">
      <w:pPr>
        <w:numPr>
          <w:ilvl w:val="0"/>
          <w:numId w:val="7"/>
        </w:numPr>
        <w:rPr>
          <w:rFonts w:ascii="Times New Roman" w:hAnsi="Times New Roman" w:cs="Times New Roman"/>
          <w:sz w:val="32"/>
          <w:szCs w:val="32"/>
        </w:rPr>
      </w:pPr>
      <w:r w:rsidRPr="007A2157">
        <w:rPr>
          <w:rFonts w:ascii="Times New Roman" w:hAnsi="Times New Roman" w:cs="Times New Roman"/>
          <w:b/>
          <w:bCs/>
          <w:sz w:val="32"/>
          <w:szCs w:val="32"/>
        </w:rPr>
        <w:t>Sub-categories</w:t>
      </w:r>
      <w:r w:rsidRPr="007A2157">
        <w:rPr>
          <w:rFonts w:ascii="Times New Roman" w:hAnsi="Times New Roman" w:cs="Times New Roman"/>
          <w:sz w:val="32"/>
          <w:szCs w:val="32"/>
        </w:rPr>
        <w:t>: “Old Vine” and “Single Vineyard” designations highlight terroir.</w:t>
      </w:r>
    </w:p>
    <w:p w14:paraId="7E8B40B1" w14:textId="77777777" w:rsidR="00255EF9" w:rsidRPr="007A2157" w:rsidRDefault="00000000" w:rsidP="00255EF9">
      <w:pPr>
        <w:rPr>
          <w:rFonts w:ascii="Times New Roman" w:hAnsi="Times New Roman" w:cs="Times New Roman"/>
          <w:sz w:val="32"/>
          <w:szCs w:val="32"/>
        </w:rPr>
      </w:pPr>
      <w:r w:rsidRPr="007A2157">
        <w:rPr>
          <w:rFonts w:ascii="Times New Roman" w:hAnsi="Times New Roman" w:cs="Times New Roman"/>
          <w:sz w:val="32"/>
          <w:szCs w:val="32"/>
        </w:rPr>
        <w:lastRenderedPageBreak/>
        <w:pict w14:anchorId="233F943B">
          <v:rect id="_x0000_i1029" style="width:0;height:1.5pt" o:hralign="center" o:hrstd="t" o:hr="t" fillcolor="#a0a0a0" stroked="f"/>
        </w:pict>
      </w:r>
    </w:p>
    <w:p w14:paraId="3F3DCE39" w14:textId="77777777" w:rsidR="00255EF9" w:rsidRPr="007A2157" w:rsidRDefault="00255EF9" w:rsidP="00255EF9">
      <w:pPr>
        <w:rPr>
          <w:rFonts w:ascii="Times New Roman" w:hAnsi="Times New Roman" w:cs="Times New Roman"/>
          <w:b/>
          <w:bCs/>
          <w:sz w:val="32"/>
          <w:szCs w:val="32"/>
        </w:rPr>
      </w:pPr>
      <w:r w:rsidRPr="007A2157">
        <w:rPr>
          <w:rFonts w:ascii="Times New Roman" w:hAnsi="Times New Roman" w:cs="Times New Roman"/>
          <w:b/>
          <w:bCs/>
          <w:sz w:val="32"/>
          <w:szCs w:val="32"/>
        </w:rPr>
        <w:t>5. Additional Context</w:t>
      </w:r>
    </w:p>
    <w:p w14:paraId="411D275D"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t>Recent Developments</w:t>
      </w:r>
      <w:r w:rsidRPr="007A2157">
        <w:rPr>
          <w:rFonts w:ascii="Times New Roman" w:hAnsi="Times New Roman" w:cs="Times New Roman"/>
          <w:sz w:val="32"/>
          <w:szCs w:val="32"/>
        </w:rPr>
        <w:t>:</w:t>
      </w:r>
    </w:p>
    <w:p w14:paraId="167BFFA4" w14:textId="77777777" w:rsidR="00255EF9" w:rsidRPr="007A2157" w:rsidRDefault="00255EF9" w:rsidP="00255EF9">
      <w:pPr>
        <w:numPr>
          <w:ilvl w:val="0"/>
          <w:numId w:val="8"/>
        </w:numPr>
        <w:rPr>
          <w:rFonts w:ascii="Times New Roman" w:hAnsi="Times New Roman" w:cs="Times New Roman"/>
          <w:sz w:val="32"/>
          <w:szCs w:val="32"/>
        </w:rPr>
      </w:pPr>
      <w:r w:rsidRPr="007A2157">
        <w:rPr>
          <w:rFonts w:ascii="Times New Roman" w:hAnsi="Times New Roman" w:cs="Times New Roman"/>
          <w:b/>
          <w:bCs/>
          <w:sz w:val="32"/>
          <w:szCs w:val="32"/>
        </w:rPr>
        <w:t>Sustainability</w:t>
      </w:r>
      <w:r w:rsidRPr="007A2157">
        <w:rPr>
          <w:rFonts w:ascii="Times New Roman" w:hAnsi="Times New Roman" w:cs="Times New Roman"/>
          <w:sz w:val="32"/>
          <w:szCs w:val="32"/>
        </w:rPr>
        <w:t>: Over 50% of vineyards are certified sustainable, with initiatives like carbon sequestration and dry farming.</w:t>
      </w:r>
    </w:p>
    <w:p w14:paraId="2E0AFCCA" w14:textId="77777777" w:rsidR="00255EF9" w:rsidRPr="007A2157" w:rsidRDefault="00255EF9" w:rsidP="00255EF9">
      <w:pPr>
        <w:numPr>
          <w:ilvl w:val="0"/>
          <w:numId w:val="8"/>
        </w:numPr>
        <w:rPr>
          <w:rFonts w:ascii="Times New Roman" w:hAnsi="Times New Roman" w:cs="Times New Roman"/>
          <w:sz w:val="32"/>
          <w:szCs w:val="32"/>
        </w:rPr>
      </w:pPr>
      <w:r w:rsidRPr="007A2157">
        <w:rPr>
          <w:rFonts w:ascii="Times New Roman" w:hAnsi="Times New Roman" w:cs="Times New Roman"/>
          <w:b/>
          <w:bCs/>
          <w:sz w:val="32"/>
          <w:szCs w:val="32"/>
        </w:rPr>
        <w:t>Climate Adaptation</w:t>
      </w:r>
      <w:r w:rsidRPr="007A2157">
        <w:rPr>
          <w:rFonts w:ascii="Times New Roman" w:hAnsi="Times New Roman" w:cs="Times New Roman"/>
          <w:sz w:val="32"/>
          <w:szCs w:val="32"/>
        </w:rPr>
        <w:t>: Trials with drought-resistant rootstocks and earlier harvests to counter warming trends.</w:t>
      </w:r>
    </w:p>
    <w:p w14:paraId="76908C6C"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t>Historical Context</w:t>
      </w:r>
      <w:r w:rsidRPr="007A2157">
        <w:rPr>
          <w:rFonts w:ascii="Times New Roman" w:hAnsi="Times New Roman" w:cs="Times New Roman"/>
          <w:sz w:val="32"/>
          <w:szCs w:val="32"/>
        </w:rPr>
        <w:t>:</w:t>
      </w:r>
      <w:r w:rsidRPr="007A2157">
        <w:rPr>
          <w:rFonts w:ascii="Times New Roman" w:hAnsi="Times New Roman" w:cs="Times New Roman"/>
          <w:sz w:val="32"/>
          <w:szCs w:val="32"/>
        </w:rPr>
        <w:br/>
        <w:t>Modern Oregon wine began in 1965 when David Lett (“Papa Pinot”) planted Pinot Noir in the Willamette Valley. The 1979 Eyrie Vineyards Pinot Noir’s success in a Paris tasting cemented Oregon’s global standing.</w:t>
      </w:r>
    </w:p>
    <w:p w14:paraId="22681089"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t>Food Pairings</w:t>
      </w:r>
      <w:r w:rsidRPr="007A2157">
        <w:rPr>
          <w:rFonts w:ascii="Times New Roman" w:hAnsi="Times New Roman" w:cs="Times New Roman"/>
          <w:sz w:val="32"/>
          <w:szCs w:val="32"/>
        </w:rPr>
        <w:t>:</w:t>
      </w:r>
    </w:p>
    <w:p w14:paraId="0D4F10A5" w14:textId="77777777" w:rsidR="00255EF9" w:rsidRPr="007A2157" w:rsidRDefault="00255EF9" w:rsidP="00255EF9">
      <w:pPr>
        <w:numPr>
          <w:ilvl w:val="0"/>
          <w:numId w:val="9"/>
        </w:numPr>
        <w:rPr>
          <w:rFonts w:ascii="Times New Roman" w:hAnsi="Times New Roman" w:cs="Times New Roman"/>
          <w:sz w:val="32"/>
          <w:szCs w:val="32"/>
        </w:rPr>
      </w:pPr>
      <w:r w:rsidRPr="007A2157">
        <w:rPr>
          <w:rFonts w:ascii="Times New Roman" w:hAnsi="Times New Roman" w:cs="Times New Roman"/>
          <w:sz w:val="32"/>
          <w:szCs w:val="32"/>
        </w:rPr>
        <w:t>Willamette Valley Pinot Noir with wild salmon or mushroom risotto.</w:t>
      </w:r>
    </w:p>
    <w:p w14:paraId="2D3E3840" w14:textId="77777777" w:rsidR="00255EF9" w:rsidRPr="007A2157" w:rsidRDefault="00255EF9" w:rsidP="00255EF9">
      <w:pPr>
        <w:numPr>
          <w:ilvl w:val="0"/>
          <w:numId w:val="9"/>
        </w:numPr>
        <w:rPr>
          <w:rFonts w:ascii="Times New Roman" w:hAnsi="Times New Roman" w:cs="Times New Roman"/>
          <w:sz w:val="32"/>
          <w:szCs w:val="32"/>
        </w:rPr>
      </w:pPr>
      <w:r w:rsidRPr="007A2157">
        <w:rPr>
          <w:rFonts w:ascii="Times New Roman" w:hAnsi="Times New Roman" w:cs="Times New Roman"/>
          <w:sz w:val="32"/>
          <w:szCs w:val="32"/>
        </w:rPr>
        <w:t>Columbia Gorge Riesling with Pacific oysters or spicy Thai cuisine.</w:t>
      </w:r>
    </w:p>
    <w:p w14:paraId="4700AC77" w14:textId="77777777" w:rsidR="00255EF9" w:rsidRPr="007A2157" w:rsidRDefault="00255EF9" w:rsidP="00255EF9">
      <w:pPr>
        <w:numPr>
          <w:ilvl w:val="0"/>
          <w:numId w:val="9"/>
        </w:numPr>
        <w:rPr>
          <w:rFonts w:ascii="Times New Roman" w:hAnsi="Times New Roman" w:cs="Times New Roman"/>
          <w:sz w:val="32"/>
          <w:szCs w:val="32"/>
        </w:rPr>
      </w:pPr>
      <w:r w:rsidRPr="007A2157">
        <w:rPr>
          <w:rFonts w:ascii="Times New Roman" w:hAnsi="Times New Roman" w:cs="Times New Roman"/>
          <w:sz w:val="32"/>
          <w:szCs w:val="32"/>
        </w:rPr>
        <w:t>Rogue Valley Syrah with smoked brisket or lamb tagine.</w:t>
      </w:r>
    </w:p>
    <w:p w14:paraId="7FE53A6D"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t>Key Producers</w:t>
      </w:r>
      <w:r w:rsidRPr="007A2157">
        <w:rPr>
          <w:rFonts w:ascii="Times New Roman" w:hAnsi="Times New Roman" w:cs="Times New Roman"/>
          <w:sz w:val="32"/>
          <w:szCs w:val="32"/>
        </w:rPr>
        <w:t>:</w:t>
      </w:r>
      <w:r w:rsidRPr="007A2157">
        <w:rPr>
          <w:rFonts w:ascii="Times New Roman" w:hAnsi="Times New Roman" w:cs="Times New Roman"/>
          <w:sz w:val="32"/>
          <w:szCs w:val="32"/>
        </w:rPr>
        <w:br/>
        <w:t>Domaine Drouhin (Burgundian influence), Beaux Frères (cult Pinot), Soter Vineyards (sparkling wines), and King Estate (organic pioneers).</w:t>
      </w:r>
    </w:p>
    <w:p w14:paraId="17FF68B4"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t>Takeaway for Sommeliers</w:t>
      </w:r>
      <w:r w:rsidRPr="007A2157">
        <w:rPr>
          <w:rFonts w:ascii="Times New Roman" w:hAnsi="Times New Roman" w:cs="Times New Roman"/>
          <w:sz w:val="32"/>
          <w:szCs w:val="32"/>
        </w:rPr>
        <w:t>:</w:t>
      </w:r>
      <w:r w:rsidRPr="007A2157">
        <w:rPr>
          <w:rFonts w:ascii="Times New Roman" w:hAnsi="Times New Roman" w:cs="Times New Roman"/>
          <w:sz w:val="32"/>
          <w:szCs w:val="32"/>
        </w:rPr>
        <w:br/>
        <w:t>Oregon’s strength lies in its sub-AVA nuances. Highlight differences between, say, Dundee Hills’ volcanic richness and Eola-Amity’s saline crispness. Leverage its sustainability narrative and value compared to Burgundy.</w:t>
      </w:r>
    </w:p>
    <w:p w14:paraId="3C6073AB"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lastRenderedPageBreak/>
        <w:t>Final Thoughts</w:t>
      </w:r>
      <w:r w:rsidRPr="007A2157">
        <w:rPr>
          <w:rFonts w:ascii="Times New Roman" w:hAnsi="Times New Roman" w:cs="Times New Roman"/>
          <w:sz w:val="32"/>
          <w:szCs w:val="32"/>
        </w:rPr>
        <w:t>:</w:t>
      </w:r>
      <w:r w:rsidRPr="007A2157">
        <w:rPr>
          <w:rFonts w:ascii="Times New Roman" w:hAnsi="Times New Roman" w:cs="Times New Roman"/>
          <w:sz w:val="32"/>
          <w:szCs w:val="32"/>
        </w:rPr>
        <w:br/>
        <w:t>A region where rain, soil, and passion converge, Oregon marries Old World subtlety with New World innovation, crafting wines that whisper of place and purpose.</w:t>
      </w:r>
    </w:p>
    <w:p w14:paraId="5B423C63" w14:textId="77777777" w:rsidR="00255EF9" w:rsidRPr="007A2157" w:rsidRDefault="00000000" w:rsidP="00255EF9">
      <w:pPr>
        <w:rPr>
          <w:rFonts w:ascii="Times New Roman" w:hAnsi="Times New Roman" w:cs="Times New Roman"/>
          <w:sz w:val="32"/>
          <w:szCs w:val="32"/>
        </w:rPr>
      </w:pPr>
      <w:r w:rsidRPr="007A2157">
        <w:rPr>
          <w:rFonts w:ascii="Times New Roman" w:hAnsi="Times New Roman" w:cs="Times New Roman"/>
          <w:sz w:val="32"/>
          <w:szCs w:val="32"/>
        </w:rPr>
        <w:pict w14:anchorId="59265188">
          <v:rect id="_x0000_i1030" style="width:0;height:1.5pt" o:hralign="center" o:hrstd="t" o:hr="t" fillcolor="#a0a0a0" stroked="f"/>
        </w:pict>
      </w:r>
    </w:p>
    <w:p w14:paraId="171396EE" w14:textId="77777777" w:rsidR="00255EF9" w:rsidRPr="007A2157" w:rsidRDefault="00255EF9" w:rsidP="00255EF9">
      <w:pPr>
        <w:rPr>
          <w:rFonts w:ascii="Times New Roman" w:hAnsi="Times New Roman" w:cs="Times New Roman"/>
          <w:sz w:val="32"/>
          <w:szCs w:val="32"/>
        </w:rPr>
      </w:pPr>
      <w:r w:rsidRPr="007A2157">
        <w:rPr>
          <w:rFonts w:ascii="Times New Roman" w:hAnsi="Times New Roman" w:cs="Times New Roman"/>
          <w:b/>
          <w:bCs/>
          <w:sz w:val="32"/>
          <w:szCs w:val="32"/>
        </w:rPr>
        <w:t>Citations</w:t>
      </w:r>
      <w:r w:rsidRPr="007A2157">
        <w:rPr>
          <w:rFonts w:ascii="Times New Roman" w:hAnsi="Times New Roman" w:cs="Times New Roman"/>
          <w:sz w:val="32"/>
          <w:szCs w:val="32"/>
        </w:rPr>
        <w:t>:</w:t>
      </w:r>
    </w:p>
    <w:p w14:paraId="6591F0B1" w14:textId="77777777" w:rsidR="00255EF9" w:rsidRPr="007A2157" w:rsidRDefault="00255EF9" w:rsidP="00255EF9">
      <w:pPr>
        <w:numPr>
          <w:ilvl w:val="0"/>
          <w:numId w:val="10"/>
        </w:numPr>
        <w:rPr>
          <w:rFonts w:ascii="Times New Roman" w:hAnsi="Times New Roman" w:cs="Times New Roman"/>
          <w:sz w:val="32"/>
          <w:szCs w:val="32"/>
        </w:rPr>
      </w:pPr>
      <w:r w:rsidRPr="007A2157">
        <w:rPr>
          <w:rFonts w:ascii="Times New Roman" w:hAnsi="Times New Roman" w:cs="Times New Roman"/>
          <w:sz w:val="32"/>
          <w:szCs w:val="32"/>
        </w:rPr>
        <w:t xml:space="preserve">Oregon Wine Board. </w:t>
      </w:r>
      <w:r w:rsidRPr="007A2157">
        <w:rPr>
          <w:rFonts w:ascii="Times New Roman" w:hAnsi="Times New Roman" w:cs="Times New Roman"/>
          <w:i/>
          <w:iCs/>
          <w:sz w:val="32"/>
          <w:szCs w:val="32"/>
        </w:rPr>
        <w:t>Sustainability Report</w:t>
      </w:r>
      <w:r w:rsidRPr="007A2157">
        <w:rPr>
          <w:rFonts w:ascii="Times New Roman" w:hAnsi="Times New Roman" w:cs="Times New Roman"/>
          <w:sz w:val="32"/>
          <w:szCs w:val="32"/>
        </w:rPr>
        <w:t>. 2023.</w:t>
      </w:r>
    </w:p>
    <w:p w14:paraId="2ACB940A" w14:textId="77777777" w:rsidR="00255EF9" w:rsidRPr="007A2157" w:rsidRDefault="00255EF9" w:rsidP="00255EF9">
      <w:pPr>
        <w:numPr>
          <w:ilvl w:val="0"/>
          <w:numId w:val="10"/>
        </w:numPr>
        <w:rPr>
          <w:rFonts w:ascii="Times New Roman" w:hAnsi="Times New Roman" w:cs="Times New Roman"/>
          <w:sz w:val="32"/>
          <w:szCs w:val="32"/>
        </w:rPr>
      </w:pPr>
      <w:r w:rsidRPr="007A2157">
        <w:rPr>
          <w:rFonts w:ascii="Times New Roman" w:hAnsi="Times New Roman" w:cs="Times New Roman"/>
          <w:sz w:val="32"/>
          <w:szCs w:val="32"/>
        </w:rPr>
        <w:t xml:space="preserve">Cole, K. </w:t>
      </w:r>
      <w:r w:rsidRPr="007A2157">
        <w:rPr>
          <w:rFonts w:ascii="Times New Roman" w:hAnsi="Times New Roman" w:cs="Times New Roman"/>
          <w:i/>
          <w:iCs/>
          <w:sz w:val="32"/>
          <w:szCs w:val="32"/>
        </w:rPr>
        <w:t>Voodoo Vintners: Oregon’s Astonishing Biodynamic Winegrowers</w:t>
      </w:r>
      <w:r w:rsidRPr="007A2157">
        <w:rPr>
          <w:rFonts w:ascii="Times New Roman" w:hAnsi="Times New Roman" w:cs="Times New Roman"/>
          <w:sz w:val="32"/>
          <w:szCs w:val="32"/>
        </w:rPr>
        <w:t>. 2011.</w:t>
      </w:r>
    </w:p>
    <w:p w14:paraId="5EFB0006" w14:textId="77777777" w:rsidR="00255EF9" w:rsidRPr="007A2157" w:rsidRDefault="00255EF9" w:rsidP="00255EF9">
      <w:pPr>
        <w:numPr>
          <w:ilvl w:val="0"/>
          <w:numId w:val="10"/>
        </w:numPr>
        <w:rPr>
          <w:rFonts w:ascii="Times New Roman" w:hAnsi="Times New Roman" w:cs="Times New Roman"/>
          <w:sz w:val="32"/>
          <w:szCs w:val="32"/>
        </w:rPr>
      </w:pPr>
      <w:r w:rsidRPr="007A2157">
        <w:rPr>
          <w:rFonts w:ascii="Times New Roman" w:hAnsi="Times New Roman" w:cs="Times New Roman"/>
          <w:sz w:val="32"/>
          <w:szCs w:val="32"/>
        </w:rPr>
        <w:t xml:space="preserve">“Oregon’s Pinot Noir Revolution.” </w:t>
      </w:r>
      <w:r w:rsidRPr="007A2157">
        <w:rPr>
          <w:rFonts w:ascii="Times New Roman" w:hAnsi="Times New Roman" w:cs="Times New Roman"/>
          <w:i/>
          <w:iCs/>
          <w:sz w:val="32"/>
          <w:szCs w:val="32"/>
        </w:rPr>
        <w:t>Wine Spectator</w:t>
      </w:r>
      <w:r w:rsidRPr="007A2157">
        <w:rPr>
          <w:rFonts w:ascii="Times New Roman" w:hAnsi="Times New Roman" w:cs="Times New Roman"/>
          <w:sz w:val="32"/>
          <w:szCs w:val="32"/>
        </w:rPr>
        <w:t>, 2020.</w:t>
      </w:r>
    </w:p>
    <w:p w14:paraId="5B21E06C" w14:textId="77777777" w:rsidR="00255EF9" w:rsidRPr="007A2157" w:rsidRDefault="00255EF9">
      <w:pPr>
        <w:rPr>
          <w:rFonts w:ascii="Times New Roman" w:hAnsi="Times New Roman" w:cs="Times New Roman"/>
          <w:sz w:val="32"/>
          <w:szCs w:val="32"/>
        </w:rPr>
      </w:pPr>
    </w:p>
    <w:sectPr w:rsidR="00255EF9" w:rsidRPr="007A2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10BC"/>
    <w:multiLevelType w:val="multilevel"/>
    <w:tmpl w:val="5C5C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B22B9"/>
    <w:multiLevelType w:val="multilevel"/>
    <w:tmpl w:val="85B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E7F47"/>
    <w:multiLevelType w:val="multilevel"/>
    <w:tmpl w:val="25CE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F237E"/>
    <w:multiLevelType w:val="multilevel"/>
    <w:tmpl w:val="A0D2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A4BBD"/>
    <w:multiLevelType w:val="multilevel"/>
    <w:tmpl w:val="9E24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030F5"/>
    <w:multiLevelType w:val="multilevel"/>
    <w:tmpl w:val="C29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E3314"/>
    <w:multiLevelType w:val="multilevel"/>
    <w:tmpl w:val="A37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B6D24"/>
    <w:multiLevelType w:val="multilevel"/>
    <w:tmpl w:val="9518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931A4"/>
    <w:multiLevelType w:val="multilevel"/>
    <w:tmpl w:val="541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273AEC"/>
    <w:multiLevelType w:val="multilevel"/>
    <w:tmpl w:val="5B7A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400146">
    <w:abstractNumId w:val="8"/>
  </w:num>
  <w:num w:numId="2" w16cid:durableId="871457748">
    <w:abstractNumId w:val="7"/>
  </w:num>
  <w:num w:numId="3" w16cid:durableId="1492525098">
    <w:abstractNumId w:val="9"/>
  </w:num>
  <w:num w:numId="4" w16cid:durableId="1621911915">
    <w:abstractNumId w:val="3"/>
  </w:num>
  <w:num w:numId="5" w16cid:durableId="843007418">
    <w:abstractNumId w:val="0"/>
  </w:num>
  <w:num w:numId="6" w16cid:durableId="1961523358">
    <w:abstractNumId w:val="5"/>
  </w:num>
  <w:num w:numId="7" w16cid:durableId="341199331">
    <w:abstractNumId w:val="1"/>
  </w:num>
  <w:num w:numId="8" w16cid:durableId="1368800273">
    <w:abstractNumId w:val="6"/>
  </w:num>
  <w:num w:numId="9" w16cid:durableId="606085846">
    <w:abstractNumId w:val="4"/>
  </w:num>
  <w:num w:numId="10" w16cid:durableId="1799832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F9"/>
    <w:rsid w:val="00255EF9"/>
    <w:rsid w:val="007A2157"/>
    <w:rsid w:val="007F1395"/>
    <w:rsid w:val="00A9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0F0E"/>
  <w15:chartTrackingRefBased/>
  <w15:docId w15:val="{7BF4391A-5958-4F3D-8B54-EBEB2B1E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E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E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E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E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EF9"/>
    <w:rPr>
      <w:rFonts w:eastAsiaTheme="majorEastAsia" w:cstheme="majorBidi"/>
      <w:color w:val="272727" w:themeColor="text1" w:themeTint="D8"/>
    </w:rPr>
  </w:style>
  <w:style w:type="paragraph" w:styleId="Title">
    <w:name w:val="Title"/>
    <w:basedOn w:val="Normal"/>
    <w:next w:val="Normal"/>
    <w:link w:val="TitleChar"/>
    <w:uiPriority w:val="10"/>
    <w:qFormat/>
    <w:rsid w:val="00255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EF9"/>
    <w:pPr>
      <w:spacing w:before="160"/>
      <w:jc w:val="center"/>
    </w:pPr>
    <w:rPr>
      <w:i/>
      <w:iCs/>
      <w:color w:val="404040" w:themeColor="text1" w:themeTint="BF"/>
    </w:rPr>
  </w:style>
  <w:style w:type="character" w:customStyle="1" w:styleId="QuoteChar">
    <w:name w:val="Quote Char"/>
    <w:basedOn w:val="DefaultParagraphFont"/>
    <w:link w:val="Quote"/>
    <w:uiPriority w:val="29"/>
    <w:rsid w:val="00255EF9"/>
    <w:rPr>
      <w:i/>
      <w:iCs/>
      <w:color w:val="404040" w:themeColor="text1" w:themeTint="BF"/>
    </w:rPr>
  </w:style>
  <w:style w:type="paragraph" w:styleId="ListParagraph">
    <w:name w:val="List Paragraph"/>
    <w:basedOn w:val="Normal"/>
    <w:uiPriority w:val="34"/>
    <w:qFormat/>
    <w:rsid w:val="00255EF9"/>
    <w:pPr>
      <w:ind w:left="720"/>
      <w:contextualSpacing/>
    </w:pPr>
  </w:style>
  <w:style w:type="character" w:styleId="IntenseEmphasis">
    <w:name w:val="Intense Emphasis"/>
    <w:basedOn w:val="DefaultParagraphFont"/>
    <w:uiPriority w:val="21"/>
    <w:qFormat/>
    <w:rsid w:val="00255EF9"/>
    <w:rPr>
      <w:i/>
      <w:iCs/>
      <w:color w:val="2F5496" w:themeColor="accent1" w:themeShade="BF"/>
    </w:rPr>
  </w:style>
  <w:style w:type="paragraph" w:styleId="IntenseQuote">
    <w:name w:val="Intense Quote"/>
    <w:basedOn w:val="Normal"/>
    <w:next w:val="Normal"/>
    <w:link w:val="IntenseQuoteChar"/>
    <w:uiPriority w:val="30"/>
    <w:qFormat/>
    <w:rsid w:val="00255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EF9"/>
    <w:rPr>
      <w:i/>
      <w:iCs/>
      <w:color w:val="2F5496" w:themeColor="accent1" w:themeShade="BF"/>
    </w:rPr>
  </w:style>
  <w:style w:type="character" w:styleId="IntenseReference">
    <w:name w:val="Intense Reference"/>
    <w:basedOn w:val="DefaultParagraphFont"/>
    <w:uiPriority w:val="32"/>
    <w:qFormat/>
    <w:rsid w:val="00255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8722">
      <w:bodyDiv w:val="1"/>
      <w:marLeft w:val="0"/>
      <w:marRight w:val="0"/>
      <w:marTop w:val="0"/>
      <w:marBottom w:val="0"/>
      <w:divBdr>
        <w:top w:val="none" w:sz="0" w:space="0" w:color="auto"/>
        <w:left w:val="none" w:sz="0" w:space="0" w:color="auto"/>
        <w:bottom w:val="none" w:sz="0" w:space="0" w:color="auto"/>
        <w:right w:val="none" w:sz="0" w:space="0" w:color="auto"/>
      </w:divBdr>
      <w:divsChild>
        <w:div w:id="244194877">
          <w:marLeft w:val="0"/>
          <w:marRight w:val="0"/>
          <w:marTop w:val="0"/>
          <w:marBottom w:val="0"/>
          <w:divBdr>
            <w:top w:val="none" w:sz="0" w:space="0" w:color="auto"/>
            <w:left w:val="none" w:sz="0" w:space="0" w:color="auto"/>
            <w:bottom w:val="none" w:sz="0" w:space="0" w:color="auto"/>
            <w:right w:val="none" w:sz="0" w:space="0" w:color="auto"/>
          </w:divBdr>
        </w:div>
      </w:divsChild>
    </w:div>
    <w:div w:id="1782991024">
      <w:bodyDiv w:val="1"/>
      <w:marLeft w:val="0"/>
      <w:marRight w:val="0"/>
      <w:marTop w:val="0"/>
      <w:marBottom w:val="0"/>
      <w:divBdr>
        <w:top w:val="none" w:sz="0" w:space="0" w:color="auto"/>
        <w:left w:val="none" w:sz="0" w:space="0" w:color="auto"/>
        <w:bottom w:val="none" w:sz="0" w:space="0" w:color="auto"/>
        <w:right w:val="none" w:sz="0" w:space="0" w:color="auto"/>
      </w:divBdr>
      <w:divsChild>
        <w:div w:id="152065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2025-03-05T23:58:00Z</dcterms:created>
  <dcterms:modified xsi:type="dcterms:W3CDTF">2025-03-06T22:14:00Z</dcterms:modified>
</cp:coreProperties>
</file>