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46FA" w14:textId="77777777" w:rsidR="00540344" w:rsidRPr="00234779" w:rsidRDefault="00E96A61" w:rsidP="00540344">
      <w:pPr>
        <w:jc w:val="center"/>
        <w:rPr>
          <w:rFonts w:ascii="Times New Roman" w:hAnsi="Times New Roman" w:cs="Times New Roman"/>
          <w:b/>
          <w:bCs/>
          <w:sz w:val="40"/>
          <w:szCs w:val="40"/>
        </w:rPr>
      </w:pPr>
      <w:r w:rsidRPr="00234779">
        <w:rPr>
          <w:rFonts w:ascii="Times New Roman" w:hAnsi="Times New Roman" w:cs="Times New Roman"/>
          <w:b/>
          <w:bCs/>
          <w:sz w:val="40"/>
          <w:szCs w:val="40"/>
        </w:rPr>
        <w:t>Certificate in Wine Studies and Global Viticulture</w:t>
      </w:r>
    </w:p>
    <w:p w14:paraId="49027133" w14:textId="6B22219A" w:rsidR="00E96A61" w:rsidRPr="00234779" w:rsidRDefault="00E96A61" w:rsidP="00540344">
      <w:pPr>
        <w:jc w:val="center"/>
        <w:rPr>
          <w:rFonts w:ascii="Times New Roman" w:hAnsi="Times New Roman" w:cs="Times New Roman"/>
          <w:b/>
          <w:bCs/>
          <w:sz w:val="40"/>
          <w:szCs w:val="40"/>
        </w:rPr>
      </w:pPr>
      <w:r w:rsidRPr="00234779">
        <w:rPr>
          <w:rFonts w:ascii="Times New Roman" w:hAnsi="Times New Roman" w:cs="Times New Roman"/>
          <w:b/>
          <w:bCs/>
          <w:sz w:val="40"/>
          <w:szCs w:val="40"/>
        </w:rPr>
        <w:t>20 Week</w:t>
      </w:r>
      <w:r w:rsidR="00540344" w:rsidRPr="00234779">
        <w:rPr>
          <w:rFonts w:ascii="Times New Roman" w:hAnsi="Times New Roman" w:cs="Times New Roman"/>
          <w:b/>
          <w:bCs/>
          <w:sz w:val="40"/>
          <w:szCs w:val="40"/>
        </w:rPr>
        <w:t xml:space="preserve"> Program</w:t>
      </w:r>
    </w:p>
    <w:p w14:paraId="7DBD9FD1"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b/>
          <w:bCs/>
          <w:sz w:val="32"/>
          <w:szCs w:val="32"/>
        </w:rPr>
        <w:t>Program Overview</w:t>
      </w:r>
      <w:r w:rsidRPr="00E96A61">
        <w:rPr>
          <w:rFonts w:ascii="Times New Roman" w:hAnsi="Times New Roman" w:cs="Times New Roman"/>
          <w:b/>
          <w:bCs/>
          <w:sz w:val="32"/>
          <w:szCs w:val="32"/>
        </w:rPr>
        <w:br/>
      </w:r>
      <w:r w:rsidRPr="00E96A61">
        <w:rPr>
          <w:rFonts w:ascii="Times New Roman" w:hAnsi="Times New Roman" w:cs="Times New Roman"/>
          <w:sz w:val="32"/>
          <w:szCs w:val="32"/>
        </w:rPr>
        <w:t>The Certificate in Wine Studies and Global Viticulture is an immersive 20-week program designed to provide students with a comprehensive understanding of wine, covering global wine regions, winemaking techniques, and the cultural and economic significance of wine. This program is ideal for individuals seeking careers in the wine industry, hospitality, or viticulture, as well as for wine enthusiasts looking to deepen their knowledge.</w:t>
      </w:r>
    </w:p>
    <w:p w14:paraId="6EA92383" w14:textId="77777777" w:rsidR="00E96A61" w:rsidRPr="00E96A61" w:rsidRDefault="00E96A61" w:rsidP="00E96A61">
      <w:pPr>
        <w:rPr>
          <w:rFonts w:ascii="Times New Roman" w:hAnsi="Times New Roman" w:cs="Times New Roman"/>
          <w:b/>
          <w:bCs/>
          <w:sz w:val="32"/>
          <w:szCs w:val="32"/>
        </w:rPr>
      </w:pPr>
      <w:r w:rsidRPr="00E96A61">
        <w:rPr>
          <w:rFonts w:ascii="Times New Roman" w:hAnsi="Times New Roman" w:cs="Times New Roman"/>
          <w:b/>
          <w:bCs/>
          <w:sz w:val="32"/>
          <w:szCs w:val="32"/>
        </w:rPr>
        <w:t>Program Goals</w:t>
      </w:r>
    </w:p>
    <w:p w14:paraId="69C44BE7" w14:textId="77777777" w:rsidR="00E96A61" w:rsidRPr="00E96A61" w:rsidRDefault="00E96A61" w:rsidP="00E96A61">
      <w:pPr>
        <w:numPr>
          <w:ilvl w:val="0"/>
          <w:numId w:val="4"/>
        </w:numPr>
        <w:rPr>
          <w:rFonts w:ascii="Times New Roman" w:hAnsi="Times New Roman" w:cs="Times New Roman"/>
          <w:sz w:val="32"/>
          <w:szCs w:val="32"/>
        </w:rPr>
      </w:pPr>
      <w:r w:rsidRPr="00E96A61">
        <w:rPr>
          <w:rFonts w:ascii="Times New Roman" w:hAnsi="Times New Roman" w:cs="Times New Roman"/>
          <w:sz w:val="32"/>
          <w:szCs w:val="32"/>
        </w:rPr>
        <w:t>Develop a Global Perspective on Wine — Equip students with knowledge of international wine regions, their terroirs, and the factors influencing wine production.</w:t>
      </w:r>
    </w:p>
    <w:p w14:paraId="2AA0CBBD" w14:textId="77777777" w:rsidR="00E96A61" w:rsidRPr="00E96A61" w:rsidRDefault="00E96A61" w:rsidP="00E96A61">
      <w:pPr>
        <w:numPr>
          <w:ilvl w:val="0"/>
          <w:numId w:val="4"/>
        </w:numPr>
        <w:rPr>
          <w:rFonts w:ascii="Times New Roman" w:hAnsi="Times New Roman" w:cs="Times New Roman"/>
          <w:sz w:val="32"/>
          <w:szCs w:val="32"/>
        </w:rPr>
      </w:pPr>
      <w:r w:rsidRPr="00E96A61">
        <w:rPr>
          <w:rFonts w:ascii="Times New Roman" w:hAnsi="Times New Roman" w:cs="Times New Roman"/>
          <w:sz w:val="32"/>
          <w:szCs w:val="32"/>
        </w:rPr>
        <w:t>Enhance Wine Tasting and Sensory Analysis — Provide professional wine evaluation skills, including sensory analysis and structured tastings.</w:t>
      </w:r>
    </w:p>
    <w:p w14:paraId="75B4DDEF" w14:textId="77777777" w:rsidR="00E96A61" w:rsidRPr="00E96A61" w:rsidRDefault="00E96A61" w:rsidP="00E96A61">
      <w:pPr>
        <w:numPr>
          <w:ilvl w:val="0"/>
          <w:numId w:val="4"/>
        </w:numPr>
        <w:rPr>
          <w:rFonts w:ascii="Times New Roman" w:hAnsi="Times New Roman" w:cs="Times New Roman"/>
          <w:sz w:val="32"/>
          <w:szCs w:val="32"/>
        </w:rPr>
      </w:pPr>
      <w:r w:rsidRPr="00E96A61">
        <w:rPr>
          <w:rFonts w:ascii="Times New Roman" w:hAnsi="Times New Roman" w:cs="Times New Roman"/>
          <w:sz w:val="32"/>
          <w:szCs w:val="32"/>
        </w:rPr>
        <w:t>Understand Winemaking and Aging — Explore vinification techniques, fermentation, aging, and their effects on wine quality.</w:t>
      </w:r>
    </w:p>
    <w:p w14:paraId="36B31695" w14:textId="77777777" w:rsidR="00E96A61" w:rsidRPr="00E96A61" w:rsidRDefault="00E96A61" w:rsidP="00E96A61">
      <w:pPr>
        <w:numPr>
          <w:ilvl w:val="0"/>
          <w:numId w:val="4"/>
        </w:numPr>
        <w:rPr>
          <w:rFonts w:ascii="Times New Roman" w:hAnsi="Times New Roman" w:cs="Times New Roman"/>
          <w:sz w:val="32"/>
          <w:szCs w:val="32"/>
        </w:rPr>
      </w:pPr>
      <w:r w:rsidRPr="00E96A61">
        <w:rPr>
          <w:rFonts w:ascii="Times New Roman" w:hAnsi="Times New Roman" w:cs="Times New Roman"/>
          <w:sz w:val="32"/>
          <w:szCs w:val="32"/>
        </w:rPr>
        <w:t>Analyze Economic and Cultural Impacts — Examine wine’s role in regional economies, global trade, tourism, and gastronomy.</w:t>
      </w:r>
    </w:p>
    <w:p w14:paraId="0F76163E" w14:textId="77777777" w:rsidR="00E96A61" w:rsidRPr="00E96A61" w:rsidRDefault="00E96A61" w:rsidP="00E96A61">
      <w:pPr>
        <w:numPr>
          <w:ilvl w:val="0"/>
          <w:numId w:val="4"/>
        </w:numPr>
        <w:rPr>
          <w:rFonts w:ascii="Times New Roman" w:hAnsi="Times New Roman" w:cs="Times New Roman"/>
          <w:sz w:val="32"/>
          <w:szCs w:val="32"/>
        </w:rPr>
      </w:pPr>
      <w:r w:rsidRPr="00E96A61">
        <w:rPr>
          <w:rFonts w:ascii="Times New Roman" w:hAnsi="Times New Roman" w:cs="Times New Roman"/>
          <w:sz w:val="32"/>
          <w:szCs w:val="32"/>
        </w:rPr>
        <w:t>Prepare for Careers in Wine and Hospitality — Provide practical experience and foundational knowledge for careers in wine education, retail, hospitality, and viticulture.</w:t>
      </w:r>
    </w:p>
    <w:p w14:paraId="40400045" w14:textId="77777777" w:rsidR="00E96A61" w:rsidRPr="00E96A61" w:rsidRDefault="00E96A61" w:rsidP="00E96A61">
      <w:pPr>
        <w:rPr>
          <w:rFonts w:ascii="Times New Roman" w:hAnsi="Times New Roman" w:cs="Times New Roman"/>
          <w:b/>
          <w:bCs/>
          <w:sz w:val="32"/>
          <w:szCs w:val="32"/>
        </w:rPr>
      </w:pPr>
      <w:r w:rsidRPr="00E96A61">
        <w:rPr>
          <w:rFonts w:ascii="Times New Roman" w:hAnsi="Times New Roman" w:cs="Times New Roman"/>
          <w:b/>
          <w:bCs/>
          <w:sz w:val="32"/>
          <w:szCs w:val="32"/>
        </w:rPr>
        <w:t>Learning Objectives</w:t>
      </w:r>
    </w:p>
    <w:p w14:paraId="7257364C" w14:textId="77777777" w:rsidR="00E96A61" w:rsidRPr="00E96A61" w:rsidRDefault="00E96A61" w:rsidP="00E96A61">
      <w:pPr>
        <w:numPr>
          <w:ilvl w:val="0"/>
          <w:numId w:val="5"/>
        </w:numPr>
        <w:rPr>
          <w:rFonts w:ascii="Times New Roman" w:hAnsi="Times New Roman" w:cs="Times New Roman"/>
          <w:sz w:val="32"/>
          <w:szCs w:val="32"/>
        </w:rPr>
      </w:pPr>
      <w:r w:rsidRPr="00E96A61">
        <w:rPr>
          <w:rFonts w:ascii="Times New Roman" w:hAnsi="Times New Roman" w:cs="Times New Roman"/>
          <w:sz w:val="32"/>
          <w:szCs w:val="32"/>
        </w:rPr>
        <w:t>Develop in-depth knowledge of major and emerging wine-producing regions, including France, Italy, Spain, Germany, the Americas, Australia, Asia, and Africa.</w:t>
      </w:r>
    </w:p>
    <w:p w14:paraId="16CAFCA5" w14:textId="77777777" w:rsidR="00E96A61" w:rsidRPr="00E96A61" w:rsidRDefault="00E96A61" w:rsidP="00E96A61">
      <w:pPr>
        <w:numPr>
          <w:ilvl w:val="0"/>
          <w:numId w:val="5"/>
        </w:numPr>
        <w:rPr>
          <w:rFonts w:ascii="Times New Roman" w:hAnsi="Times New Roman" w:cs="Times New Roman"/>
          <w:sz w:val="32"/>
          <w:szCs w:val="32"/>
        </w:rPr>
      </w:pPr>
      <w:r w:rsidRPr="00E96A61">
        <w:rPr>
          <w:rFonts w:ascii="Times New Roman" w:hAnsi="Times New Roman" w:cs="Times New Roman"/>
          <w:sz w:val="32"/>
          <w:szCs w:val="32"/>
        </w:rPr>
        <w:t>Understand terroir, climate, and vinification techniques and their impact on wine structure, flavor, and aging potential.</w:t>
      </w:r>
    </w:p>
    <w:p w14:paraId="044B0350" w14:textId="77777777" w:rsidR="00E96A61" w:rsidRPr="00E96A61" w:rsidRDefault="00E96A61" w:rsidP="00E96A61">
      <w:pPr>
        <w:numPr>
          <w:ilvl w:val="0"/>
          <w:numId w:val="5"/>
        </w:numPr>
        <w:rPr>
          <w:rFonts w:ascii="Times New Roman" w:hAnsi="Times New Roman" w:cs="Times New Roman"/>
          <w:sz w:val="32"/>
          <w:szCs w:val="32"/>
        </w:rPr>
      </w:pPr>
      <w:r w:rsidRPr="00E96A61">
        <w:rPr>
          <w:rFonts w:ascii="Times New Roman" w:hAnsi="Times New Roman" w:cs="Times New Roman"/>
          <w:sz w:val="32"/>
          <w:szCs w:val="32"/>
        </w:rPr>
        <w:t>Build proficiency in wine tasting, sensory analysis, and food pairing.</w:t>
      </w:r>
    </w:p>
    <w:p w14:paraId="4CCABE79" w14:textId="77777777" w:rsidR="00E96A61" w:rsidRPr="00E96A61" w:rsidRDefault="00E96A61" w:rsidP="00E96A61">
      <w:pPr>
        <w:numPr>
          <w:ilvl w:val="0"/>
          <w:numId w:val="5"/>
        </w:numPr>
        <w:rPr>
          <w:rFonts w:ascii="Times New Roman" w:hAnsi="Times New Roman" w:cs="Times New Roman"/>
          <w:sz w:val="32"/>
          <w:szCs w:val="32"/>
        </w:rPr>
      </w:pPr>
      <w:r w:rsidRPr="00E96A61">
        <w:rPr>
          <w:rFonts w:ascii="Times New Roman" w:hAnsi="Times New Roman" w:cs="Times New Roman"/>
          <w:sz w:val="32"/>
          <w:szCs w:val="32"/>
        </w:rPr>
        <w:t>Explore the business of wine, including marketing, distribution, and legal considerations.</w:t>
      </w:r>
    </w:p>
    <w:p w14:paraId="18F9FA75" w14:textId="77777777" w:rsidR="00E96A61" w:rsidRPr="00E96A61" w:rsidRDefault="00E96A61" w:rsidP="00E96A61">
      <w:pPr>
        <w:numPr>
          <w:ilvl w:val="0"/>
          <w:numId w:val="5"/>
        </w:numPr>
        <w:rPr>
          <w:rFonts w:ascii="Times New Roman" w:hAnsi="Times New Roman" w:cs="Times New Roman"/>
          <w:sz w:val="32"/>
          <w:szCs w:val="32"/>
        </w:rPr>
      </w:pPr>
      <w:r w:rsidRPr="00E96A61">
        <w:rPr>
          <w:rFonts w:ascii="Times New Roman" w:hAnsi="Times New Roman" w:cs="Times New Roman"/>
          <w:sz w:val="32"/>
          <w:szCs w:val="32"/>
        </w:rPr>
        <w:t>Assess sustainable practices, organic/biodynamic viticulture, and technological innovations in global wine production.</w:t>
      </w:r>
    </w:p>
    <w:p w14:paraId="490A0D74" w14:textId="77777777" w:rsidR="00E96A61" w:rsidRPr="00E96A61" w:rsidRDefault="00000000" w:rsidP="00E96A61">
      <w:pPr>
        <w:rPr>
          <w:rFonts w:ascii="Times New Roman" w:hAnsi="Times New Roman" w:cs="Times New Roman"/>
          <w:sz w:val="32"/>
          <w:szCs w:val="32"/>
        </w:rPr>
      </w:pPr>
      <w:r>
        <w:rPr>
          <w:rFonts w:ascii="Times New Roman" w:hAnsi="Times New Roman" w:cs="Times New Roman"/>
          <w:sz w:val="32"/>
          <w:szCs w:val="32"/>
        </w:rPr>
        <w:pict w14:anchorId="5425CBA6">
          <v:rect id="_x0000_i1025" style="width:0;height:1.5pt" o:hralign="center" o:hrstd="t" o:hr="t" fillcolor="#a0a0a0" stroked="f"/>
        </w:pict>
      </w:r>
    </w:p>
    <w:p w14:paraId="21B308C3"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Course Curriculum and Structure</w:t>
      </w:r>
      <w:r w:rsidRPr="00E96A61">
        <w:rPr>
          <w:rFonts w:ascii="Times New Roman" w:hAnsi="Times New Roman" w:cs="Times New Roman"/>
          <w:sz w:val="32"/>
          <w:szCs w:val="32"/>
        </w:rPr>
        <w:br/>
        <w:t>Course Title: Global Wine Studies and Appreciation</w:t>
      </w:r>
      <w:r w:rsidRPr="00E96A61">
        <w:rPr>
          <w:rFonts w:ascii="Times New Roman" w:hAnsi="Times New Roman" w:cs="Times New Roman"/>
          <w:sz w:val="32"/>
          <w:szCs w:val="32"/>
        </w:rPr>
        <w:br/>
        <w:t>This course introduces students to the world of wine through geographical, historical, and cultural lenses. Structured tastings, lectures, and discussions cover Old World vs. New World wine styles, regional characteristics, and emerging trends in viticulture.</w:t>
      </w:r>
    </w:p>
    <w:p w14:paraId="6C63F0B6" w14:textId="77777777" w:rsidR="00E96A61" w:rsidRPr="00E96A61" w:rsidRDefault="00E96A61" w:rsidP="00E96A61">
      <w:pPr>
        <w:rPr>
          <w:rFonts w:ascii="Times New Roman" w:hAnsi="Times New Roman" w:cs="Times New Roman"/>
          <w:b/>
          <w:bCs/>
          <w:sz w:val="32"/>
          <w:szCs w:val="32"/>
        </w:rPr>
      </w:pPr>
      <w:r w:rsidRPr="00E96A61">
        <w:rPr>
          <w:rFonts w:ascii="Times New Roman" w:hAnsi="Times New Roman" w:cs="Times New Roman"/>
          <w:b/>
          <w:bCs/>
          <w:sz w:val="32"/>
          <w:szCs w:val="32"/>
        </w:rPr>
        <w:t>Weekly Curriculum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784"/>
        <w:gridCol w:w="5780"/>
      </w:tblGrid>
      <w:tr w:rsidR="00E96A61" w:rsidRPr="00E96A61" w14:paraId="51467E91" w14:textId="77777777" w:rsidTr="00E96A61">
        <w:trPr>
          <w:tblHeader/>
          <w:tblCellSpacing w:w="15" w:type="dxa"/>
        </w:trPr>
        <w:tc>
          <w:tcPr>
            <w:tcW w:w="0" w:type="auto"/>
            <w:vAlign w:val="center"/>
            <w:hideMark/>
          </w:tcPr>
          <w:p w14:paraId="51166815"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Week</w:t>
            </w:r>
          </w:p>
        </w:tc>
        <w:tc>
          <w:tcPr>
            <w:tcW w:w="0" w:type="auto"/>
            <w:vAlign w:val="center"/>
            <w:hideMark/>
          </w:tcPr>
          <w:p w14:paraId="63A3D21B"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Topic</w:t>
            </w:r>
          </w:p>
        </w:tc>
        <w:tc>
          <w:tcPr>
            <w:tcW w:w="0" w:type="auto"/>
            <w:vAlign w:val="center"/>
            <w:hideMark/>
          </w:tcPr>
          <w:p w14:paraId="1EC045E7"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Description</w:t>
            </w:r>
          </w:p>
        </w:tc>
      </w:tr>
      <w:tr w:rsidR="00E96A61" w:rsidRPr="00E96A61" w14:paraId="7FBD98E5" w14:textId="77777777" w:rsidTr="00E96A61">
        <w:trPr>
          <w:tblCellSpacing w:w="15" w:type="dxa"/>
        </w:trPr>
        <w:tc>
          <w:tcPr>
            <w:tcW w:w="0" w:type="auto"/>
            <w:vAlign w:val="center"/>
            <w:hideMark/>
          </w:tcPr>
          <w:p w14:paraId="18725DBD" w14:textId="5A8EBA99"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w:t>
            </w:r>
            <w:r>
              <w:rPr>
                <w:rFonts w:ascii="Times New Roman" w:hAnsi="Times New Roman" w:cs="Times New Roman"/>
                <w:sz w:val="32"/>
                <w:szCs w:val="32"/>
              </w:rPr>
              <w:t>.</w:t>
            </w:r>
          </w:p>
        </w:tc>
        <w:tc>
          <w:tcPr>
            <w:tcW w:w="0" w:type="auto"/>
            <w:vAlign w:val="center"/>
            <w:hideMark/>
          </w:tcPr>
          <w:p w14:paraId="7682E610"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Introduction to Winemaking</w:t>
            </w:r>
          </w:p>
        </w:tc>
        <w:tc>
          <w:tcPr>
            <w:tcW w:w="0" w:type="auto"/>
            <w:vAlign w:val="center"/>
            <w:hideMark/>
          </w:tcPr>
          <w:p w14:paraId="16C0DBD1"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Overview of fermentation, grape varieties, and aging techniques.</w:t>
            </w:r>
          </w:p>
        </w:tc>
      </w:tr>
      <w:tr w:rsidR="00E96A61" w:rsidRPr="00E96A61" w14:paraId="036F35B6" w14:textId="77777777" w:rsidTr="00E96A61">
        <w:trPr>
          <w:tblCellSpacing w:w="15" w:type="dxa"/>
        </w:trPr>
        <w:tc>
          <w:tcPr>
            <w:tcW w:w="0" w:type="auto"/>
            <w:vAlign w:val="center"/>
            <w:hideMark/>
          </w:tcPr>
          <w:p w14:paraId="279F7D55" w14:textId="07F99F89"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2</w:t>
            </w:r>
            <w:r>
              <w:rPr>
                <w:rFonts w:ascii="Times New Roman" w:hAnsi="Times New Roman" w:cs="Times New Roman"/>
                <w:sz w:val="32"/>
                <w:szCs w:val="32"/>
              </w:rPr>
              <w:t>..</w:t>
            </w:r>
          </w:p>
        </w:tc>
        <w:tc>
          <w:tcPr>
            <w:tcW w:w="0" w:type="auto"/>
            <w:vAlign w:val="center"/>
            <w:hideMark/>
          </w:tcPr>
          <w:p w14:paraId="2C97EE56"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French Wine Regions I</w:t>
            </w:r>
          </w:p>
        </w:tc>
        <w:tc>
          <w:tcPr>
            <w:tcW w:w="0" w:type="auto"/>
            <w:vAlign w:val="center"/>
            <w:hideMark/>
          </w:tcPr>
          <w:p w14:paraId="5B9F2585"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Bordeaux, Burgundy: Terroir, appellations, and iconic wines. Tastings included.</w:t>
            </w:r>
          </w:p>
        </w:tc>
      </w:tr>
      <w:tr w:rsidR="00E96A61" w:rsidRPr="00E96A61" w14:paraId="763A5D61" w14:textId="77777777" w:rsidTr="00E96A61">
        <w:trPr>
          <w:tblCellSpacing w:w="15" w:type="dxa"/>
        </w:trPr>
        <w:tc>
          <w:tcPr>
            <w:tcW w:w="0" w:type="auto"/>
            <w:vAlign w:val="center"/>
            <w:hideMark/>
          </w:tcPr>
          <w:p w14:paraId="5C6C4B27" w14:textId="015D8366"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3</w:t>
            </w:r>
            <w:r>
              <w:rPr>
                <w:rFonts w:ascii="Times New Roman" w:hAnsi="Times New Roman" w:cs="Times New Roman"/>
                <w:sz w:val="32"/>
                <w:szCs w:val="32"/>
              </w:rPr>
              <w:t>.</w:t>
            </w:r>
          </w:p>
        </w:tc>
        <w:tc>
          <w:tcPr>
            <w:tcW w:w="0" w:type="auto"/>
            <w:vAlign w:val="center"/>
            <w:hideMark/>
          </w:tcPr>
          <w:p w14:paraId="418BEE4F"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French Wine Regions II</w:t>
            </w:r>
          </w:p>
        </w:tc>
        <w:tc>
          <w:tcPr>
            <w:tcW w:w="0" w:type="auto"/>
            <w:vAlign w:val="center"/>
            <w:hideMark/>
          </w:tcPr>
          <w:p w14:paraId="3042300E"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Champagne, Rhône Valley: Sparkling and Rhône blends.</w:t>
            </w:r>
          </w:p>
        </w:tc>
      </w:tr>
      <w:tr w:rsidR="00E96A61" w:rsidRPr="00E96A61" w14:paraId="456E2BE1" w14:textId="77777777" w:rsidTr="00E96A61">
        <w:trPr>
          <w:tblCellSpacing w:w="15" w:type="dxa"/>
        </w:trPr>
        <w:tc>
          <w:tcPr>
            <w:tcW w:w="0" w:type="auto"/>
            <w:vAlign w:val="center"/>
            <w:hideMark/>
          </w:tcPr>
          <w:p w14:paraId="381D3957" w14:textId="7B869494"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4</w:t>
            </w:r>
            <w:r>
              <w:rPr>
                <w:rFonts w:ascii="Times New Roman" w:hAnsi="Times New Roman" w:cs="Times New Roman"/>
                <w:sz w:val="32"/>
                <w:szCs w:val="32"/>
              </w:rPr>
              <w:t>.</w:t>
            </w:r>
          </w:p>
        </w:tc>
        <w:tc>
          <w:tcPr>
            <w:tcW w:w="0" w:type="auto"/>
            <w:vAlign w:val="center"/>
            <w:hideMark/>
          </w:tcPr>
          <w:p w14:paraId="542D960C"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Italian Wine Regions I</w:t>
            </w:r>
          </w:p>
        </w:tc>
        <w:tc>
          <w:tcPr>
            <w:tcW w:w="0" w:type="auto"/>
            <w:vAlign w:val="center"/>
            <w:hideMark/>
          </w:tcPr>
          <w:p w14:paraId="73E22339"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Northern Italy: Piedmont (Barolo), Veneto (Amarone).</w:t>
            </w:r>
          </w:p>
        </w:tc>
      </w:tr>
      <w:tr w:rsidR="00E96A61" w:rsidRPr="00E96A61" w14:paraId="1C11D6A4" w14:textId="77777777" w:rsidTr="00E96A61">
        <w:trPr>
          <w:tblCellSpacing w:w="15" w:type="dxa"/>
        </w:trPr>
        <w:tc>
          <w:tcPr>
            <w:tcW w:w="0" w:type="auto"/>
            <w:vAlign w:val="center"/>
            <w:hideMark/>
          </w:tcPr>
          <w:p w14:paraId="2E963F6A" w14:textId="74FEEF43"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5</w:t>
            </w:r>
            <w:r>
              <w:rPr>
                <w:rFonts w:ascii="Times New Roman" w:hAnsi="Times New Roman" w:cs="Times New Roman"/>
                <w:sz w:val="32"/>
                <w:szCs w:val="32"/>
              </w:rPr>
              <w:t>.</w:t>
            </w:r>
          </w:p>
        </w:tc>
        <w:tc>
          <w:tcPr>
            <w:tcW w:w="0" w:type="auto"/>
            <w:vAlign w:val="center"/>
            <w:hideMark/>
          </w:tcPr>
          <w:p w14:paraId="550B95D4"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Italian Wine Regions II</w:t>
            </w:r>
          </w:p>
        </w:tc>
        <w:tc>
          <w:tcPr>
            <w:tcW w:w="0" w:type="auto"/>
            <w:vAlign w:val="center"/>
            <w:hideMark/>
          </w:tcPr>
          <w:p w14:paraId="387FDB6E"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Tuscany (Chianti), Southern Italy (Sicily, Campania).</w:t>
            </w:r>
          </w:p>
        </w:tc>
      </w:tr>
      <w:tr w:rsidR="00E96A61" w:rsidRPr="00E96A61" w14:paraId="115F9453" w14:textId="77777777" w:rsidTr="00E96A61">
        <w:trPr>
          <w:tblCellSpacing w:w="15" w:type="dxa"/>
        </w:trPr>
        <w:tc>
          <w:tcPr>
            <w:tcW w:w="0" w:type="auto"/>
            <w:vAlign w:val="center"/>
            <w:hideMark/>
          </w:tcPr>
          <w:p w14:paraId="73641696" w14:textId="732DD3F3"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6</w:t>
            </w:r>
            <w:r>
              <w:rPr>
                <w:rFonts w:ascii="Times New Roman" w:hAnsi="Times New Roman" w:cs="Times New Roman"/>
                <w:sz w:val="32"/>
                <w:szCs w:val="32"/>
              </w:rPr>
              <w:t>.</w:t>
            </w:r>
          </w:p>
        </w:tc>
        <w:tc>
          <w:tcPr>
            <w:tcW w:w="0" w:type="auto"/>
            <w:vAlign w:val="center"/>
            <w:hideMark/>
          </w:tcPr>
          <w:p w14:paraId="61C35D7E"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Spanish Wine Regions</w:t>
            </w:r>
          </w:p>
        </w:tc>
        <w:tc>
          <w:tcPr>
            <w:tcW w:w="0" w:type="auto"/>
            <w:vAlign w:val="center"/>
            <w:hideMark/>
          </w:tcPr>
          <w:p w14:paraId="1EE6A549"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Rioja, Ribera del Duero: Tempranillo and aging classifications.</w:t>
            </w:r>
          </w:p>
        </w:tc>
      </w:tr>
      <w:tr w:rsidR="00E96A61" w:rsidRPr="00E96A61" w14:paraId="1007F990" w14:textId="77777777" w:rsidTr="00E96A61">
        <w:trPr>
          <w:tblCellSpacing w:w="15" w:type="dxa"/>
        </w:trPr>
        <w:tc>
          <w:tcPr>
            <w:tcW w:w="0" w:type="auto"/>
            <w:vAlign w:val="center"/>
            <w:hideMark/>
          </w:tcPr>
          <w:p w14:paraId="1AC9ED7A" w14:textId="4028FFCC"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7</w:t>
            </w:r>
            <w:r>
              <w:rPr>
                <w:rFonts w:ascii="Times New Roman" w:hAnsi="Times New Roman" w:cs="Times New Roman"/>
                <w:sz w:val="32"/>
                <w:szCs w:val="32"/>
              </w:rPr>
              <w:t>.</w:t>
            </w:r>
          </w:p>
        </w:tc>
        <w:tc>
          <w:tcPr>
            <w:tcW w:w="0" w:type="auto"/>
            <w:vAlign w:val="center"/>
            <w:hideMark/>
          </w:tcPr>
          <w:p w14:paraId="4FA81312"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Portuguese Wines</w:t>
            </w:r>
          </w:p>
        </w:tc>
        <w:tc>
          <w:tcPr>
            <w:tcW w:w="0" w:type="auto"/>
            <w:vAlign w:val="center"/>
            <w:hideMark/>
          </w:tcPr>
          <w:p w14:paraId="7DF08AC1"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Douro Valley (Port), Madeira: Fortified wines and traditions.</w:t>
            </w:r>
          </w:p>
        </w:tc>
      </w:tr>
      <w:tr w:rsidR="00E96A61" w:rsidRPr="00E96A61" w14:paraId="59DA2D05" w14:textId="77777777" w:rsidTr="00E96A61">
        <w:trPr>
          <w:tblCellSpacing w:w="15" w:type="dxa"/>
        </w:trPr>
        <w:tc>
          <w:tcPr>
            <w:tcW w:w="0" w:type="auto"/>
            <w:vAlign w:val="center"/>
            <w:hideMark/>
          </w:tcPr>
          <w:p w14:paraId="1CFDCF13" w14:textId="7FEA0BF3"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8</w:t>
            </w:r>
            <w:r>
              <w:rPr>
                <w:rFonts w:ascii="Times New Roman" w:hAnsi="Times New Roman" w:cs="Times New Roman"/>
                <w:sz w:val="32"/>
                <w:szCs w:val="32"/>
              </w:rPr>
              <w:t>.</w:t>
            </w:r>
          </w:p>
        </w:tc>
        <w:tc>
          <w:tcPr>
            <w:tcW w:w="0" w:type="auto"/>
            <w:vAlign w:val="center"/>
            <w:hideMark/>
          </w:tcPr>
          <w:p w14:paraId="4FFDC380"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German Wines &amp; Terroir</w:t>
            </w:r>
          </w:p>
        </w:tc>
        <w:tc>
          <w:tcPr>
            <w:tcW w:w="0" w:type="auto"/>
            <w:vAlign w:val="center"/>
            <w:hideMark/>
          </w:tcPr>
          <w:p w14:paraId="5541D6CC"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Riesling from Mosel and Rhine Valley. Climate challenges and sweetness levels.</w:t>
            </w:r>
          </w:p>
        </w:tc>
      </w:tr>
      <w:tr w:rsidR="00E96A61" w:rsidRPr="00E96A61" w14:paraId="51F3D136" w14:textId="77777777" w:rsidTr="00E96A61">
        <w:trPr>
          <w:tblCellSpacing w:w="15" w:type="dxa"/>
        </w:trPr>
        <w:tc>
          <w:tcPr>
            <w:tcW w:w="0" w:type="auto"/>
            <w:vAlign w:val="center"/>
            <w:hideMark/>
          </w:tcPr>
          <w:p w14:paraId="21FDFBA6" w14:textId="50D9571F"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9</w:t>
            </w:r>
            <w:r>
              <w:rPr>
                <w:rFonts w:ascii="Times New Roman" w:hAnsi="Times New Roman" w:cs="Times New Roman"/>
                <w:sz w:val="32"/>
                <w:szCs w:val="32"/>
              </w:rPr>
              <w:t>.</w:t>
            </w:r>
          </w:p>
        </w:tc>
        <w:tc>
          <w:tcPr>
            <w:tcW w:w="0" w:type="auto"/>
            <w:vAlign w:val="center"/>
            <w:hideMark/>
          </w:tcPr>
          <w:p w14:paraId="27ABD930"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Greek Wines</w:t>
            </w:r>
          </w:p>
        </w:tc>
        <w:tc>
          <w:tcPr>
            <w:tcW w:w="0" w:type="auto"/>
            <w:vAlign w:val="center"/>
            <w:hideMark/>
          </w:tcPr>
          <w:p w14:paraId="06B7BDAA"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Ancient varieties (Assyrtiko, Agiorgitiko) and modern revival.</w:t>
            </w:r>
          </w:p>
        </w:tc>
      </w:tr>
      <w:tr w:rsidR="00E96A61" w:rsidRPr="00E96A61" w14:paraId="6CFFFBF5" w14:textId="77777777" w:rsidTr="00E96A61">
        <w:trPr>
          <w:tblCellSpacing w:w="15" w:type="dxa"/>
        </w:trPr>
        <w:tc>
          <w:tcPr>
            <w:tcW w:w="0" w:type="auto"/>
            <w:vAlign w:val="center"/>
            <w:hideMark/>
          </w:tcPr>
          <w:p w14:paraId="11ADF623" w14:textId="2DB9751C"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10</w:t>
            </w:r>
            <w:r>
              <w:rPr>
                <w:rFonts w:ascii="Times New Roman" w:hAnsi="Times New Roman" w:cs="Times New Roman"/>
                <w:sz w:val="32"/>
                <w:szCs w:val="32"/>
              </w:rPr>
              <w:t>.</w:t>
            </w:r>
          </w:p>
        </w:tc>
        <w:tc>
          <w:tcPr>
            <w:tcW w:w="0" w:type="auto"/>
            <w:vAlign w:val="center"/>
            <w:hideMark/>
          </w:tcPr>
          <w:p w14:paraId="59C8574F"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Eastern European Wines</w:t>
            </w:r>
          </w:p>
        </w:tc>
        <w:tc>
          <w:tcPr>
            <w:tcW w:w="0" w:type="auto"/>
            <w:vAlign w:val="center"/>
            <w:hideMark/>
          </w:tcPr>
          <w:p w14:paraId="75CA4D2F"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Hungary (Tokaji), Georgia (amber wines and qvevri techniques).</w:t>
            </w:r>
          </w:p>
        </w:tc>
      </w:tr>
      <w:tr w:rsidR="00E96A61" w:rsidRPr="00E96A61" w14:paraId="01F96599" w14:textId="77777777" w:rsidTr="00E96A61">
        <w:trPr>
          <w:tblCellSpacing w:w="15" w:type="dxa"/>
        </w:trPr>
        <w:tc>
          <w:tcPr>
            <w:tcW w:w="0" w:type="auto"/>
            <w:vAlign w:val="center"/>
            <w:hideMark/>
          </w:tcPr>
          <w:p w14:paraId="3371D7D2" w14:textId="3ECE6C1E"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11</w:t>
            </w:r>
            <w:r>
              <w:rPr>
                <w:rFonts w:ascii="Times New Roman" w:hAnsi="Times New Roman" w:cs="Times New Roman"/>
                <w:sz w:val="32"/>
                <w:szCs w:val="32"/>
              </w:rPr>
              <w:t>.</w:t>
            </w:r>
          </w:p>
        </w:tc>
        <w:tc>
          <w:tcPr>
            <w:tcW w:w="0" w:type="auto"/>
            <w:vAlign w:val="center"/>
            <w:hideMark/>
          </w:tcPr>
          <w:p w14:paraId="317169D5"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California Wines</w:t>
            </w:r>
          </w:p>
        </w:tc>
        <w:tc>
          <w:tcPr>
            <w:tcW w:w="0" w:type="auto"/>
            <w:vAlign w:val="center"/>
            <w:hideMark/>
          </w:tcPr>
          <w:p w14:paraId="66F5E259"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Napa Valley Cabernet, Sonoma Pinot Noir.</w:t>
            </w:r>
          </w:p>
        </w:tc>
      </w:tr>
      <w:tr w:rsidR="00E96A61" w:rsidRPr="00E96A61" w14:paraId="0297F1F9" w14:textId="77777777" w:rsidTr="00E96A61">
        <w:trPr>
          <w:tblCellSpacing w:w="15" w:type="dxa"/>
        </w:trPr>
        <w:tc>
          <w:tcPr>
            <w:tcW w:w="0" w:type="auto"/>
            <w:vAlign w:val="center"/>
            <w:hideMark/>
          </w:tcPr>
          <w:p w14:paraId="57BB5C52" w14:textId="1016968A"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12</w:t>
            </w:r>
            <w:r>
              <w:rPr>
                <w:rFonts w:ascii="Times New Roman" w:hAnsi="Times New Roman" w:cs="Times New Roman"/>
                <w:sz w:val="32"/>
                <w:szCs w:val="32"/>
              </w:rPr>
              <w:t>.</w:t>
            </w:r>
          </w:p>
        </w:tc>
        <w:tc>
          <w:tcPr>
            <w:tcW w:w="0" w:type="auto"/>
            <w:vAlign w:val="center"/>
            <w:hideMark/>
          </w:tcPr>
          <w:p w14:paraId="49D1A968"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Pacific Northwest Wines</w:t>
            </w:r>
          </w:p>
        </w:tc>
        <w:tc>
          <w:tcPr>
            <w:tcW w:w="0" w:type="auto"/>
            <w:vAlign w:val="center"/>
            <w:hideMark/>
          </w:tcPr>
          <w:p w14:paraId="0B5CCFAE"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Oregon (Willamette Pinot Noir), Washington State (Syrah).</w:t>
            </w:r>
          </w:p>
        </w:tc>
      </w:tr>
      <w:tr w:rsidR="00E96A61" w:rsidRPr="00E96A61" w14:paraId="4A98C8AD" w14:textId="77777777" w:rsidTr="00E96A61">
        <w:trPr>
          <w:tblCellSpacing w:w="15" w:type="dxa"/>
        </w:trPr>
        <w:tc>
          <w:tcPr>
            <w:tcW w:w="0" w:type="auto"/>
            <w:vAlign w:val="center"/>
            <w:hideMark/>
          </w:tcPr>
          <w:p w14:paraId="1A2A93EF" w14:textId="4D99E53A"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13</w:t>
            </w:r>
            <w:r>
              <w:rPr>
                <w:rFonts w:ascii="Times New Roman" w:hAnsi="Times New Roman" w:cs="Times New Roman"/>
                <w:sz w:val="32"/>
                <w:szCs w:val="32"/>
              </w:rPr>
              <w:t>.</w:t>
            </w:r>
          </w:p>
        </w:tc>
        <w:tc>
          <w:tcPr>
            <w:tcW w:w="0" w:type="auto"/>
            <w:vAlign w:val="center"/>
            <w:hideMark/>
          </w:tcPr>
          <w:p w14:paraId="6E79ED53"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Australian Wines</w:t>
            </w:r>
          </w:p>
        </w:tc>
        <w:tc>
          <w:tcPr>
            <w:tcW w:w="0" w:type="auto"/>
            <w:vAlign w:val="center"/>
            <w:hideMark/>
          </w:tcPr>
          <w:p w14:paraId="56926E28"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Barossa Shiraz, Margaret River Chardonnay.</w:t>
            </w:r>
          </w:p>
        </w:tc>
      </w:tr>
      <w:tr w:rsidR="00E96A61" w:rsidRPr="00E96A61" w14:paraId="6DBD1336" w14:textId="77777777" w:rsidTr="00E96A61">
        <w:trPr>
          <w:tblCellSpacing w:w="15" w:type="dxa"/>
        </w:trPr>
        <w:tc>
          <w:tcPr>
            <w:tcW w:w="0" w:type="auto"/>
            <w:vAlign w:val="center"/>
            <w:hideMark/>
          </w:tcPr>
          <w:p w14:paraId="62576E03" w14:textId="23FBCBA5"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14</w:t>
            </w:r>
            <w:r>
              <w:rPr>
                <w:rFonts w:ascii="Times New Roman" w:hAnsi="Times New Roman" w:cs="Times New Roman"/>
                <w:sz w:val="32"/>
                <w:szCs w:val="32"/>
              </w:rPr>
              <w:t>.</w:t>
            </w:r>
          </w:p>
        </w:tc>
        <w:tc>
          <w:tcPr>
            <w:tcW w:w="0" w:type="auto"/>
            <w:vAlign w:val="center"/>
            <w:hideMark/>
          </w:tcPr>
          <w:p w14:paraId="4F2448C6"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New Zealand Wines</w:t>
            </w:r>
          </w:p>
        </w:tc>
        <w:tc>
          <w:tcPr>
            <w:tcW w:w="0" w:type="auto"/>
            <w:vAlign w:val="center"/>
            <w:hideMark/>
          </w:tcPr>
          <w:p w14:paraId="3E08AC0C"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Marlborough Sauvignon Blanc, Central Otago Pinot Noir.</w:t>
            </w:r>
          </w:p>
        </w:tc>
      </w:tr>
      <w:tr w:rsidR="00E96A61" w:rsidRPr="00E96A61" w14:paraId="27445178" w14:textId="77777777" w:rsidTr="00E96A61">
        <w:trPr>
          <w:tblCellSpacing w:w="15" w:type="dxa"/>
        </w:trPr>
        <w:tc>
          <w:tcPr>
            <w:tcW w:w="0" w:type="auto"/>
            <w:vAlign w:val="center"/>
            <w:hideMark/>
          </w:tcPr>
          <w:p w14:paraId="0996EA11" w14:textId="0DC05029"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15</w:t>
            </w:r>
            <w:r>
              <w:rPr>
                <w:rFonts w:ascii="Times New Roman" w:hAnsi="Times New Roman" w:cs="Times New Roman"/>
                <w:sz w:val="32"/>
                <w:szCs w:val="32"/>
              </w:rPr>
              <w:t>.</w:t>
            </w:r>
          </w:p>
        </w:tc>
        <w:tc>
          <w:tcPr>
            <w:tcW w:w="0" w:type="auto"/>
            <w:vAlign w:val="center"/>
            <w:hideMark/>
          </w:tcPr>
          <w:p w14:paraId="7D9E53EE"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South American Wines</w:t>
            </w:r>
          </w:p>
        </w:tc>
        <w:tc>
          <w:tcPr>
            <w:tcW w:w="0" w:type="auto"/>
            <w:vAlign w:val="center"/>
            <w:hideMark/>
          </w:tcPr>
          <w:p w14:paraId="3E06D5C9"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Argentina (Malbec), Chile (Carmenère).</w:t>
            </w:r>
          </w:p>
        </w:tc>
      </w:tr>
      <w:tr w:rsidR="00E96A61" w:rsidRPr="00E96A61" w14:paraId="126B0CFC" w14:textId="77777777" w:rsidTr="00E96A61">
        <w:trPr>
          <w:tblCellSpacing w:w="15" w:type="dxa"/>
        </w:trPr>
        <w:tc>
          <w:tcPr>
            <w:tcW w:w="0" w:type="auto"/>
            <w:vAlign w:val="center"/>
            <w:hideMark/>
          </w:tcPr>
          <w:p w14:paraId="02F62D15" w14:textId="25CFF8DB"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16</w:t>
            </w:r>
            <w:r>
              <w:rPr>
                <w:rFonts w:ascii="Times New Roman" w:hAnsi="Times New Roman" w:cs="Times New Roman"/>
                <w:sz w:val="32"/>
                <w:szCs w:val="32"/>
              </w:rPr>
              <w:t>.</w:t>
            </w:r>
          </w:p>
        </w:tc>
        <w:tc>
          <w:tcPr>
            <w:tcW w:w="0" w:type="auto"/>
            <w:vAlign w:val="center"/>
            <w:hideMark/>
          </w:tcPr>
          <w:p w14:paraId="392C32DB"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South African Wines</w:t>
            </w:r>
          </w:p>
        </w:tc>
        <w:tc>
          <w:tcPr>
            <w:tcW w:w="0" w:type="auto"/>
            <w:vAlign w:val="center"/>
            <w:hideMark/>
          </w:tcPr>
          <w:p w14:paraId="6FA7C630"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Stellenbosch (Pinotage), Swartland (Chenin Blanc).</w:t>
            </w:r>
          </w:p>
        </w:tc>
      </w:tr>
      <w:tr w:rsidR="00E96A61" w:rsidRPr="00E96A61" w14:paraId="7E2B452F" w14:textId="77777777" w:rsidTr="00E96A61">
        <w:trPr>
          <w:tblCellSpacing w:w="15" w:type="dxa"/>
        </w:trPr>
        <w:tc>
          <w:tcPr>
            <w:tcW w:w="0" w:type="auto"/>
            <w:vAlign w:val="center"/>
            <w:hideMark/>
          </w:tcPr>
          <w:p w14:paraId="2FDDE89A" w14:textId="368AB9BC"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17</w:t>
            </w:r>
            <w:r>
              <w:rPr>
                <w:rFonts w:ascii="Times New Roman" w:hAnsi="Times New Roman" w:cs="Times New Roman"/>
                <w:sz w:val="32"/>
                <w:szCs w:val="32"/>
              </w:rPr>
              <w:t>.</w:t>
            </w:r>
          </w:p>
        </w:tc>
        <w:tc>
          <w:tcPr>
            <w:tcW w:w="0" w:type="auto"/>
            <w:vAlign w:val="center"/>
            <w:hideMark/>
          </w:tcPr>
          <w:p w14:paraId="6F31399A"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China’s Wine Market</w:t>
            </w:r>
          </w:p>
        </w:tc>
        <w:tc>
          <w:tcPr>
            <w:tcW w:w="0" w:type="auto"/>
            <w:vAlign w:val="center"/>
            <w:hideMark/>
          </w:tcPr>
          <w:p w14:paraId="4E7BCB18"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Ningxia region, key producers, and global ambitions.</w:t>
            </w:r>
          </w:p>
        </w:tc>
      </w:tr>
      <w:tr w:rsidR="00E96A61" w:rsidRPr="00E96A61" w14:paraId="2C84B81F" w14:textId="77777777" w:rsidTr="00E96A61">
        <w:trPr>
          <w:tblCellSpacing w:w="15" w:type="dxa"/>
        </w:trPr>
        <w:tc>
          <w:tcPr>
            <w:tcW w:w="0" w:type="auto"/>
            <w:vAlign w:val="center"/>
            <w:hideMark/>
          </w:tcPr>
          <w:p w14:paraId="5D0A2ABC" w14:textId="0304226A"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18</w:t>
            </w:r>
            <w:r>
              <w:rPr>
                <w:rFonts w:ascii="Times New Roman" w:hAnsi="Times New Roman" w:cs="Times New Roman"/>
                <w:sz w:val="32"/>
                <w:szCs w:val="32"/>
              </w:rPr>
              <w:t>.</w:t>
            </w:r>
          </w:p>
        </w:tc>
        <w:tc>
          <w:tcPr>
            <w:tcW w:w="0" w:type="auto"/>
            <w:vAlign w:val="center"/>
            <w:hideMark/>
          </w:tcPr>
          <w:p w14:paraId="6A166881"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Emerging Markets: India &amp; Japan</w:t>
            </w:r>
          </w:p>
        </w:tc>
        <w:tc>
          <w:tcPr>
            <w:tcW w:w="0" w:type="auto"/>
            <w:vAlign w:val="center"/>
            <w:hideMark/>
          </w:tcPr>
          <w:p w14:paraId="78B40084"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Nashik Valley (India), Yamanashi (Japan).</w:t>
            </w:r>
          </w:p>
        </w:tc>
      </w:tr>
      <w:tr w:rsidR="00E96A61" w:rsidRPr="00E96A61" w14:paraId="371C1698" w14:textId="77777777" w:rsidTr="00E96A61">
        <w:trPr>
          <w:tblCellSpacing w:w="15" w:type="dxa"/>
        </w:trPr>
        <w:tc>
          <w:tcPr>
            <w:tcW w:w="0" w:type="auto"/>
            <w:vAlign w:val="center"/>
            <w:hideMark/>
          </w:tcPr>
          <w:p w14:paraId="7A9853F3" w14:textId="50A8EA10"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19</w:t>
            </w:r>
            <w:r>
              <w:rPr>
                <w:rFonts w:ascii="Times New Roman" w:hAnsi="Times New Roman" w:cs="Times New Roman"/>
                <w:sz w:val="32"/>
                <w:szCs w:val="32"/>
              </w:rPr>
              <w:t>.</w:t>
            </w:r>
          </w:p>
        </w:tc>
        <w:tc>
          <w:tcPr>
            <w:tcW w:w="0" w:type="auto"/>
            <w:vAlign w:val="center"/>
            <w:hideMark/>
          </w:tcPr>
          <w:p w14:paraId="40D9978D"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Sustainable Viticulture</w:t>
            </w:r>
          </w:p>
        </w:tc>
        <w:tc>
          <w:tcPr>
            <w:tcW w:w="0" w:type="auto"/>
            <w:vAlign w:val="center"/>
            <w:hideMark/>
          </w:tcPr>
          <w:p w14:paraId="7697C2E1"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Organic/biodynamic practices, climate change adaptation, and wine tech trends.</w:t>
            </w:r>
          </w:p>
        </w:tc>
      </w:tr>
      <w:tr w:rsidR="00E96A61" w:rsidRPr="00E96A61" w14:paraId="58569A2C" w14:textId="77777777" w:rsidTr="00E96A61">
        <w:trPr>
          <w:tblCellSpacing w:w="15" w:type="dxa"/>
        </w:trPr>
        <w:tc>
          <w:tcPr>
            <w:tcW w:w="0" w:type="auto"/>
            <w:vAlign w:val="center"/>
            <w:hideMark/>
          </w:tcPr>
          <w:p w14:paraId="4B9B8B93" w14:textId="7B28526F"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20</w:t>
            </w:r>
            <w:r>
              <w:rPr>
                <w:rFonts w:ascii="Times New Roman" w:hAnsi="Times New Roman" w:cs="Times New Roman"/>
                <w:sz w:val="32"/>
                <w:szCs w:val="32"/>
              </w:rPr>
              <w:t>.</w:t>
            </w:r>
          </w:p>
        </w:tc>
        <w:tc>
          <w:tcPr>
            <w:tcW w:w="0" w:type="auto"/>
            <w:vAlign w:val="center"/>
            <w:hideMark/>
          </w:tcPr>
          <w:p w14:paraId="294675BF"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Review &amp; Final Testing</w:t>
            </w:r>
          </w:p>
        </w:tc>
        <w:tc>
          <w:tcPr>
            <w:tcW w:w="0" w:type="auto"/>
            <w:vAlign w:val="center"/>
            <w:hideMark/>
          </w:tcPr>
          <w:p w14:paraId="0F1FF715"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Comprehensive review, written exam, and final project presentations.</w:t>
            </w:r>
          </w:p>
        </w:tc>
      </w:tr>
    </w:tbl>
    <w:p w14:paraId="0D657702" w14:textId="77777777" w:rsidR="00E96A61" w:rsidRPr="00E96A61" w:rsidRDefault="00E96A61" w:rsidP="00E96A61">
      <w:pPr>
        <w:rPr>
          <w:rFonts w:ascii="Times New Roman" w:hAnsi="Times New Roman" w:cs="Times New Roman"/>
          <w:b/>
          <w:bCs/>
          <w:sz w:val="32"/>
          <w:szCs w:val="32"/>
        </w:rPr>
      </w:pPr>
      <w:r w:rsidRPr="00E96A61">
        <w:rPr>
          <w:rFonts w:ascii="Times New Roman" w:hAnsi="Times New Roman" w:cs="Times New Roman"/>
          <w:b/>
          <w:bCs/>
          <w:sz w:val="32"/>
          <w:szCs w:val="32"/>
        </w:rPr>
        <w:t>Assessment &amp; Grading</w:t>
      </w:r>
    </w:p>
    <w:p w14:paraId="08934638" w14:textId="77777777" w:rsidR="00E96A61" w:rsidRPr="00E96A61" w:rsidRDefault="00E96A61" w:rsidP="00E96A61">
      <w:pPr>
        <w:numPr>
          <w:ilvl w:val="0"/>
          <w:numId w:val="6"/>
        </w:numPr>
        <w:rPr>
          <w:rFonts w:ascii="Times New Roman" w:hAnsi="Times New Roman" w:cs="Times New Roman"/>
          <w:sz w:val="32"/>
          <w:szCs w:val="32"/>
        </w:rPr>
      </w:pPr>
      <w:r w:rsidRPr="00E96A61">
        <w:rPr>
          <w:rFonts w:ascii="Times New Roman" w:hAnsi="Times New Roman" w:cs="Times New Roman"/>
          <w:sz w:val="32"/>
          <w:szCs w:val="32"/>
        </w:rPr>
        <w:t>Participation (25%) — Engagement in discussions, tastings, and coursework.</w:t>
      </w:r>
    </w:p>
    <w:p w14:paraId="14F9988E" w14:textId="77777777" w:rsidR="00E96A61" w:rsidRPr="00E96A61" w:rsidRDefault="00E96A61" w:rsidP="00E96A61">
      <w:pPr>
        <w:numPr>
          <w:ilvl w:val="0"/>
          <w:numId w:val="6"/>
        </w:numPr>
        <w:rPr>
          <w:rFonts w:ascii="Times New Roman" w:hAnsi="Times New Roman" w:cs="Times New Roman"/>
          <w:sz w:val="32"/>
          <w:szCs w:val="32"/>
        </w:rPr>
      </w:pPr>
      <w:r w:rsidRPr="00E96A61">
        <w:rPr>
          <w:rFonts w:ascii="Times New Roman" w:hAnsi="Times New Roman" w:cs="Times New Roman"/>
          <w:sz w:val="32"/>
          <w:szCs w:val="32"/>
        </w:rPr>
        <w:t>Tasting Journal (20%) — Structured record of sensory analysis and tasting notes.</w:t>
      </w:r>
    </w:p>
    <w:p w14:paraId="465E3AA1" w14:textId="77777777" w:rsidR="00E96A61" w:rsidRPr="00E96A61" w:rsidRDefault="00E96A61" w:rsidP="00E96A61">
      <w:pPr>
        <w:numPr>
          <w:ilvl w:val="0"/>
          <w:numId w:val="6"/>
        </w:numPr>
        <w:rPr>
          <w:rFonts w:ascii="Times New Roman" w:hAnsi="Times New Roman" w:cs="Times New Roman"/>
          <w:sz w:val="32"/>
          <w:szCs w:val="32"/>
        </w:rPr>
      </w:pPr>
      <w:r w:rsidRPr="00E96A61">
        <w:rPr>
          <w:rFonts w:ascii="Times New Roman" w:hAnsi="Times New Roman" w:cs="Times New Roman"/>
          <w:sz w:val="32"/>
          <w:szCs w:val="32"/>
        </w:rPr>
        <w:t>Midterm Research Paper (20%) — Analysis of a wine region’s cultural/economic impact (due Week 10).</w:t>
      </w:r>
    </w:p>
    <w:p w14:paraId="27FC116D" w14:textId="77777777" w:rsidR="00E96A61" w:rsidRPr="00E96A61" w:rsidRDefault="00E96A61" w:rsidP="00E96A61">
      <w:pPr>
        <w:numPr>
          <w:ilvl w:val="0"/>
          <w:numId w:val="6"/>
        </w:numPr>
        <w:rPr>
          <w:rFonts w:ascii="Times New Roman" w:hAnsi="Times New Roman" w:cs="Times New Roman"/>
          <w:sz w:val="32"/>
          <w:szCs w:val="32"/>
        </w:rPr>
      </w:pPr>
      <w:r w:rsidRPr="00E96A61">
        <w:rPr>
          <w:rFonts w:ascii="Times New Roman" w:hAnsi="Times New Roman" w:cs="Times New Roman"/>
          <w:sz w:val="32"/>
          <w:szCs w:val="32"/>
        </w:rPr>
        <w:t>Final Project (25%) — Presentation on a selected region/winery, including tasting and pairing (Week 20).</w:t>
      </w:r>
    </w:p>
    <w:p w14:paraId="0C353B66" w14:textId="77777777" w:rsidR="00E96A61" w:rsidRPr="00E96A61" w:rsidRDefault="00E96A61" w:rsidP="00E96A61">
      <w:pPr>
        <w:numPr>
          <w:ilvl w:val="0"/>
          <w:numId w:val="6"/>
        </w:numPr>
        <w:rPr>
          <w:rFonts w:ascii="Times New Roman" w:hAnsi="Times New Roman" w:cs="Times New Roman"/>
          <w:sz w:val="32"/>
          <w:szCs w:val="32"/>
        </w:rPr>
      </w:pPr>
      <w:r w:rsidRPr="00E96A61">
        <w:rPr>
          <w:rFonts w:ascii="Times New Roman" w:hAnsi="Times New Roman" w:cs="Times New Roman"/>
          <w:sz w:val="32"/>
          <w:szCs w:val="32"/>
        </w:rPr>
        <w:t>Final Exam (10%) — Written test covering theoretical knowledge (Week 20).</w:t>
      </w:r>
    </w:p>
    <w:p w14:paraId="71345F64"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b/>
          <w:bCs/>
          <w:sz w:val="32"/>
          <w:szCs w:val="32"/>
        </w:rPr>
        <w:t>Program Outcome</w:t>
      </w:r>
      <w:r w:rsidRPr="00E96A61">
        <w:rPr>
          <w:rFonts w:ascii="Times New Roman" w:hAnsi="Times New Roman" w:cs="Times New Roman"/>
          <w:b/>
          <w:bCs/>
          <w:sz w:val="32"/>
          <w:szCs w:val="32"/>
        </w:rPr>
        <w:br/>
      </w:r>
      <w:r w:rsidRPr="00E96A61">
        <w:rPr>
          <w:rFonts w:ascii="Times New Roman" w:hAnsi="Times New Roman" w:cs="Times New Roman"/>
          <w:sz w:val="32"/>
          <w:szCs w:val="32"/>
        </w:rPr>
        <w:t>Upon completion, students receive a Certificate in Wine Studies and Global Viticulture, equipping them with foundational knowledge and skills to pursue careers in the wine industry, hospitality, viticulture, or further education.</w:t>
      </w:r>
    </w:p>
    <w:p w14:paraId="013C6708" w14:textId="77777777" w:rsidR="00E96A61" w:rsidRPr="00E96A61" w:rsidRDefault="00E96A61" w:rsidP="00E96A61">
      <w:pPr>
        <w:rPr>
          <w:rFonts w:ascii="Times New Roman" w:hAnsi="Times New Roman" w:cs="Times New Roman"/>
          <w:sz w:val="32"/>
          <w:szCs w:val="32"/>
        </w:rPr>
      </w:pPr>
      <w:r w:rsidRPr="00E96A61">
        <w:rPr>
          <w:rFonts w:ascii="Times New Roman" w:hAnsi="Times New Roman" w:cs="Times New Roman"/>
          <w:sz w:val="32"/>
          <w:szCs w:val="32"/>
        </w:rPr>
        <w:t>This expanded program offers a deeper exploration of global wine regions and advanced topics, balancing academic rigor with hands-on sensory learning. Students will graduate with a nuanced understanding of wine’s global significance.</w:t>
      </w:r>
    </w:p>
    <w:p w14:paraId="0C12806F" w14:textId="77777777" w:rsidR="00E96A61" w:rsidRDefault="00E96A61" w:rsidP="00B12603">
      <w:pPr>
        <w:pBdr>
          <w:bottom w:val="single" w:sz="6" w:space="1" w:color="auto"/>
        </w:pBdr>
        <w:rPr>
          <w:rFonts w:ascii="Times New Roman" w:hAnsi="Times New Roman" w:cs="Times New Roman"/>
          <w:b/>
          <w:bCs/>
          <w:sz w:val="32"/>
          <w:szCs w:val="32"/>
        </w:rPr>
      </w:pPr>
    </w:p>
    <w:p w14:paraId="0FFAD38F" w14:textId="77777777" w:rsidR="00E96A61" w:rsidRPr="00234779" w:rsidRDefault="00E96A61" w:rsidP="00B12603">
      <w:pPr>
        <w:rPr>
          <w:rFonts w:ascii="Times New Roman" w:hAnsi="Times New Roman" w:cs="Times New Roman"/>
          <w:b/>
          <w:bCs/>
          <w:sz w:val="40"/>
          <w:szCs w:val="40"/>
        </w:rPr>
      </w:pPr>
    </w:p>
    <w:p w14:paraId="15AD8BF3" w14:textId="2E5DB34C" w:rsidR="00B12603" w:rsidRPr="00234779" w:rsidRDefault="00B12603" w:rsidP="00234779">
      <w:pPr>
        <w:jc w:val="center"/>
        <w:rPr>
          <w:rFonts w:ascii="Times New Roman" w:hAnsi="Times New Roman" w:cs="Times New Roman"/>
          <w:b/>
          <w:bCs/>
          <w:sz w:val="40"/>
          <w:szCs w:val="40"/>
        </w:rPr>
      </w:pPr>
      <w:r w:rsidRPr="00234779">
        <w:rPr>
          <w:rFonts w:ascii="Times New Roman" w:hAnsi="Times New Roman" w:cs="Times New Roman"/>
          <w:b/>
          <w:bCs/>
          <w:sz w:val="40"/>
          <w:szCs w:val="40"/>
        </w:rPr>
        <w:t>Certificate in Wine Studies and Global Viticulture</w:t>
      </w:r>
      <w:r w:rsidR="00234779">
        <w:rPr>
          <w:rFonts w:ascii="Times New Roman" w:hAnsi="Times New Roman" w:cs="Times New Roman"/>
          <w:b/>
          <w:bCs/>
          <w:sz w:val="40"/>
          <w:szCs w:val="40"/>
        </w:rPr>
        <w:br/>
      </w:r>
      <w:r w:rsidR="00E96A61" w:rsidRPr="00234779">
        <w:rPr>
          <w:rFonts w:ascii="Times New Roman" w:hAnsi="Times New Roman" w:cs="Times New Roman"/>
          <w:b/>
          <w:bCs/>
          <w:sz w:val="40"/>
          <w:szCs w:val="40"/>
        </w:rPr>
        <w:t>1</w:t>
      </w:r>
      <w:r w:rsidR="00EC555C">
        <w:rPr>
          <w:rFonts w:ascii="Times New Roman" w:hAnsi="Times New Roman" w:cs="Times New Roman"/>
          <w:b/>
          <w:bCs/>
          <w:sz w:val="40"/>
          <w:szCs w:val="40"/>
        </w:rPr>
        <w:t>5</w:t>
      </w:r>
      <w:r w:rsidR="00E96A61" w:rsidRPr="00234779">
        <w:rPr>
          <w:rFonts w:ascii="Times New Roman" w:hAnsi="Times New Roman" w:cs="Times New Roman"/>
          <w:b/>
          <w:bCs/>
          <w:sz w:val="40"/>
          <w:szCs w:val="40"/>
        </w:rPr>
        <w:t xml:space="preserve"> Week</w:t>
      </w:r>
      <w:r w:rsidR="00234779" w:rsidRPr="00234779">
        <w:rPr>
          <w:rFonts w:ascii="Times New Roman" w:hAnsi="Times New Roman" w:cs="Times New Roman"/>
          <w:b/>
          <w:bCs/>
          <w:sz w:val="40"/>
          <w:szCs w:val="40"/>
        </w:rPr>
        <w:t xml:space="preserve"> Program</w:t>
      </w:r>
    </w:p>
    <w:p w14:paraId="0FAEAE35" w14:textId="77777777" w:rsidR="00EC555C" w:rsidRPr="00EC555C" w:rsidRDefault="00EC555C" w:rsidP="00EC555C">
      <w:pPr>
        <w:rPr>
          <w:rFonts w:ascii="Times New Roman" w:hAnsi="Times New Roman" w:cs="Times New Roman"/>
          <w:b/>
          <w:bCs/>
          <w:sz w:val="32"/>
          <w:szCs w:val="32"/>
        </w:rPr>
      </w:pPr>
      <w:r w:rsidRPr="00EC555C">
        <w:rPr>
          <w:rFonts w:ascii="Times New Roman" w:hAnsi="Times New Roman" w:cs="Times New Roman"/>
          <w:b/>
          <w:bCs/>
          <w:sz w:val="32"/>
          <w:szCs w:val="32"/>
        </w:rPr>
        <w:t>Program Overview</w:t>
      </w:r>
    </w:p>
    <w:p w14:paraId="3B5DEBAA" w14:textId="77777777" w:rsidR="00EC555C" w:rsidRPr="00EC555C" w:rsidRDefault="00EC555C" w:rsidP="00EC555C">
      <w:pPr>
        <w:rPr>
          <w:rFonts w:ascii="Times New Roman" w:hAnsi="Times New Roman" w:cs="Times New Roman"/>
          <w:sz w:val="32"/>
          <w:szCs w:val="32"/>
        </w:rPr>
      </w:pPr>
      <w:r w:rsidRPr="00EC555C">
        <w:rPr>
          <w:rFonts w:ascii="Times New Roman" w:hAnsi="Times New Roman" w:cs="Times New Roman"/>
          <w:sz w:val="32"/>
          <w:szCs w:val="32"/>
        </w:rPr>
        <w:t>The Certificate in Wine Studies and Global Viticulture is an immersive 15-week program designed to provide students with a comprehensive understanding of wine, covering global wine regions, winemaking techniques, and the cultural and economic significance of wine. The extended format allows for deeper regional study, reinforced tasting skills, and stronger integration of theory and practice.</w:t>
      </w:r>
    </w:p>
    <w:p w14:paraId="1D26AC61" w14:textId="77777777" w:rsidR="00EC555C" w:rsidRPr="00EC555C" w:rsidRDefault="00EC555C" w:rsidP="00EC555C">
      <w:pPr>
        <w:rPr>
          <w:rFonts w:ascii="Times New Roman" w:hAnsi="Times New Roman" w:cs="Times New Roman"/>
          <w:sz w:val="32"/>
          <w:szCs w:val="32"/>
        </w:rPr>
      </w:pPr>
      <w:r w:rsidRPr="00EC555C">
        <w:rPr>
          <w:rFonts w:ascii="Times New Roman" w:hAnsi="Times New Roman" w:cs="Times New Roman"/>
          <w:sz w:val="32"/>
          <w:szCs w:val="32"/>
        </w:rPr>
        <w:pict w14:anchorId="3A57425E">
          <v:rect id="_x0000_i1062" style="width:0;height:1.5pt" o:hralign="center" o:hrstd="t" o:hr="t" fillcolor="#a0a0a0" stroked="f"/>
        </w:pict>
      </w:r>
    </w:p>
    <w:p w14:paraId="6FAFD3FC" w14:textId="5BB4493E" w:rsidR="00EC555C" w:rsidRPr="00EC555C" w:rsidRDefault="00EC555C" w:rsidP="00EC555C">
      <w:pPr>
        <w:rPr>
          <w:rFonts w:ascii="Times New Roman" w:hAnsi="Times New Roman" w:cs="Times New Roman"/>
          <w:b/>
          <w:bCs/>
          <w:sz w:val="32"/>
          <w:szCs w:val="32"/>
        </w:rPr>
      </w:pPr>
      <w:r w:rsidRPr="00EC555C">
        <w:rPr>
          <w:rFonts w:ascii="Times New Roman" w:hAnsi="Times New Roman" w:cs="Times New Roman"/>
          <w:b/>
          <w:bCs/>
          <w:sz w:val="32"/>
          <w:szCs w:val="32"/>
        </w:rPr>
        <w:t xml:space="preserve">Weekly Curriculum Breakdown </w:t>
      </w:r>
    </w:p>
    <w:p w14:paraId="47646714"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 – Introduction to Wine, Tasting, and Aging</w:t>
      </w:r>
      <w:r w:rsidRPr="00EC555C">
        <w:rPr>
          <w:rFonts w:ascii="Times New Roman" w:hAnsi="Times New Roman" w:cs="Times New Roman"/>
          <w:sz w:val="32"/>
          <w:szCs w:val="32"/>
        </w:rPr>
        <w:br/>
        <w:t>Foundations of wine, basic sensory evaluation, fermentation, grape varieties, and aging techniques.</w:t>
      </w:r>
    </w:p>
    <w:p w14:paraId="71D33FE8"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2 – Viticulture and Terroir Fundamentals</w:t>
      </w:r>
      <w:r w:rsidRPr="00EC555C">
        <w:rPr>
          <w:rFonts w:ascii="Times New Roman" w:hAnsi="Times New Roman" w:cs="Times New Roman"/>
          <w:sz w:val="32"/>
          <w:szCs w:val="32"/>
        </w:rPr>
        <w:br/>
        <w:t>Climate, soils, grapevine growth cycle, and how terroir shapes wine style and quality.</w:t>
      </w:r>
    </w:p>
    <w:p w14:paraId="504798B9"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3 – French Wine Regions I</w:t>
      </w:r>
      <w:r w:rsidRPr="00EC555C">
        <w:rPr>
          <w:rFonts w:ascii="Times New Roman" w:hAnsi="Times New Roman" w:cs="Times New Roman"/>
          <w:sz w:val="32"/>
          <w:szCs w:val="32"/>
        </w:rPr>
        <w:br/>
        <w:t>Bordeaux and Burgundy. Appellations, terroir, classic styles, structured tastings.</w:t>
      </w:r>
    </w:p>
    <w:p w14:paraId="65BACB58"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4 – French Wine Regions II</w:t>
      </w:r>
      <w:r w:rsidRPr="00EC555C">
        <w:rPr>
          <w:rFonts w:ascii="Times New Roman" w:hAnsi="Times New Roman" w:cs="Times New Roman"/>
          <w:sz w:val="32"/>
          <w:szCs w:val="32"/>
        </w:rPr>
        <w:br/>
        <w:t>Champagne and the Rhône Valley. Sparkling production basics and Rhône blends.</w:t>
      </w:r>
    </w:p>
    <w:p w14:paraId="4A17DC83"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5 – Italian Wine Regions I</w:t>
      </w:r>
      <w:r w:rsidRPr="00EC555C">
        <w:rPr>
          <w:rFonts w:ascii="Times New Roman" w:hAnsi="Times New Roman" w:cs="Times New Roman"/>
          <w:sz w:val="32"/>
          <w:szCs w:val="32"/>
        </w:rPr>
        <w:br/>
        <w:t>Northern Italy: Piedmont and Veneto. Barolo, Amarone, structure, and aging.</w:t>
      </w:r>
    </w:p>
    <w:p w14:paraId="10737CDD"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6 – Italian Wine Regions II</w:t>
      </w:r>
      <w:r w:rsidRPr="00EC555C">
        <w:rPr>
          <w:rFonts w:ascii="Times New Roman" w:hAnsi="Times New Roman" w:cs="Times New Roman"/>
          <w:sz w:val="32"/>
          <w:szCs w:val="32"/>
        </w:rPr>
        <w:br/>
        <w:t>Central and Southern Italy: Tuscany, Sicily, Campania. Indigenous varieties and regional identity.</w:t>
      </w:r>
    </w:p>
    <w:p w14:paraId="3989D3A5"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7 – Spanish and Portuguese Wines</w:t>
      </w:r>
      <w:r w:rsidRPr="00EC555C">
        <w:rPr>
          <w:rFonts w:ascii="Times New Roman" w:hAnsi="Times New Roman" w:cs="Times New Roman"/>
          <w:sz w:val="32"/>
          <w:szCs w:val="32"/>
        </w:rPr>
        <w:br/>
        <w:t>Rioja, Ribera del Duero, Douro Valley, Port, and Madeira. Aging systems and fortified wines.</w:t>
      </w:r>
    </w:p>
    <w:p w14:paraId="778944F8"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8 – German Wines and Cool-Climate Europe</w:t>
      </w:r>
      <w:r w:rsidRPr="00EC555C">
        <w:rPr>
          <w:rFonts w:ascii="Times New Roman" w:hAnsi="Times New Roman" w:cs="Times New Roman"/>
          <w:sz w:val="32"/>
          <w:szCs w:val="32"/>
        </w:rPr>
        <w:br/>
        <w:t>Riesling, sweetness levels, Mosel and Rhine Valley terroir, climate challenges.</w:t>
      </w:r>
    </w:p>
    <w:p w14:paraId="6827CABD"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9 – Greece and Eastern Europe</w:t>
      </w:r>
      <w:r w:rsidRPr="00EC555C">
        <w:rPr>
          <w:rFonts w:ascii="Times New Roman" w:hAnsi="Times New Roman" w:cs="Times New Roman"/>
          <w:sz w:val="32"/>
          <w:szCs w:val="32"/>
        </w:rPr>
        <w:br/>
        <w:t>Ancient varieties and modern revival. Assyrtiko, Agiorgitiko, Tokaji, Georgia and qvevri wines.</w:t>
      </w:r>
    </w:p>
    <w:p w14:paraId="59999D2F"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10 – California Wines</w:t>
      </w:r>
      <w:r w:rsidRPr="00EC555C">
        <w:rPr>
          <w:rFonts w:ascii="Times New Roman" w:hAnsi="Times New Roman" w:cs="Times New Roman"/>
          <w:sz w:val="32"/>
          <w:szCs w:val="32"/>
        </w:rPr>
        <w:br/>
        <w:t>Napa Valley Cabernet, Sonoma Pinot Noir. New World structure and regional comparison.</w:t>
      </w:r>
    </w:p>
    <w:p w14:paraId="752FFCD2"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11 – Pacific Northwest Wines</w:t>
      </w:r>
      <w:r w:rsidRPr="00EC555C">
        <w:rPr>
          <w:rFonts w:ascii="Times New Roman" w:hAnsi="Times New Roman" w:cs="Times New Roman"/>
          <w:sz w:val="32"/>
          <w:szCs w:val="32"/>
        </w:rPr>
        <w:br/>
        <w:t>Oregon and Washington. Pinot Noir, Syrah, climate influence, and site expression.</w:t>
      </w:r>
    </w:p>
    <w:p w14:paraId="4D0301F1"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12 – Southern Hemisphere Wines</w:t>
      </w:r>
      <w:r w:rsidRPr="00EC555C">
        <w:rPr>
          <w:rFonts w:ascii="Times New Roman" w:hAnsi="Times New Roman" w:cs="Times New Roman"/>
          <w:sz w:val="32"/>
          <w:szCs w:val="32"/>
        </w:rPr>
        <w:br/>
        <w:t>Australia, New Zealand, South America, and South Africa. Shiraz, Sauvignon Blanc, Malbec, Pinotage.</w:t>
      </w:r>
    </w:p>
    <w:p w14:paraId="076E6BEC"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13 – Emerging and Global Markets</w:t>
      </w:r>
      <w:r w:rsidRPr="00EC555C">
        <w:rPr>
          <w:rFonts w:ascii="Times New Roman" w:hAnsi="Times New Roman" w:cs="Times New Roman"/>
          <w:sz w:val="32"/>
          <w:szCs w:val="32"/>
        </w:rPr>
        <w:br/>
        <w:t>China, India, and Japan. Market development, style adaptation, and global impact.</w:t>
      </w:r>
    </w:p>
    <w:p w14:paraId="322EE965"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14 – Sustainable Viticulture and the Business of Wine</w:t>
      </w:r>
      <w:r w:rsidRPr="00EC555C">
        <w:rPr>
          <w:rFonts w:ascii="Times New Roman" w:hAnsi="Times New Roman" w:cs="Times New Roman"/>
          <w:sz w:val="32"/>
          <w:szCs w:val="32"/>
        </w:rPr>
        <w:br/>
        <w:t>Organic and biodynamic practices, climate change, wine economics, marketing, and distribution.</w:t>
      </w:r>
    </w:p>
    <w:p w14:paraId="4CBC850F" w14:textId="77777777" w:rsidR="00EC555C" w:rsidRPr="00EC555C" w:rsidRDefault="00EC555C" w:rsidP="00EC555C">
      <w:pPr>
        <w:ind w:left="1440" w:hanging="720"/>
        <w:rPr>
          <w:rFonts w:ascii="Times New Roman" w:hAnsi="Times New Roman" w:cs="Times New Roman"/>
          <w:sz w:val="32"/>
          <w:szCs w:val="32"/>
        </w:rPr>
      </w:pPr>
      <w:r w:rsidRPr="00EC555C">
        <w:rPr>
          <w:rFonts w:ascii="Times New Roman" w:hAnsi="Times New Roman" w:cs="Times New Roman"/>
          <w:b/>
          <w:bCs/>
          <w:sz w:val="32"/>
          <w:szCs w:val="32"/>
        </w:rPr>
        <w:t>Week 15 – Review and Final Assessment</w:t>
      </w:r>
      <w:r w:rsidRPr="00EC555C">
        <w:rPr>
          <w:rFonts w:ascii="Times New Roman" w:hAnsi="Times New Roman" w:cs="Times New Roman"/>
          <w:sz w:val="32"/>
          <w:szCs w:val="32"/>
        </w:rPr>
        <w:br/>
        <w:t>Comprehensive review, written exam, tasting evaluation, and final project presentations.</w:t>
      </w:r>
    </w:p>
    <w:p w14:paraId="77496138" w14:textId="77777777" w:rsidR="00EC555C" w:rsidRPr="00EC555C" w:rsidRDefault="00EC555C" w:rsidP="00EC555C">
      <w:pPr>
        <w:rPr>
          <w:rFonts w:ascii="Times New Roman" w:hAnsi="Times New Roman" w:cs="Times New Roman"/>
          <w:sz w:val="32"/>
          <w:szCs w:val="32"/>
        </w:rPr>
      </w:pPr>
      <w:r w:rsidRPr="00EC555C">
        <w:rPr>
          <w:rFonts w:ascii="Times New Roman" w:hAnsi="Times New Roman" w:cs="Times New Roman"/>
          <w:sz w:val="32"/>
          <w:szCs w:val="32"/>
        </w:rPr>
        <w:pict w14:anchorId="4099DB74">
          <v:rect id="_x0000_i1063" style="width:0;height:1.5pt" o:hralign="center" o:hrstd="t" o:hr="t" fillcolor="#a0a0a0" stroked="f"/>
        </w:pict>
      </w:r>
    </w:p>
    <w:p w14:paraId="55239A34" w14:textId="77777777" w:rsidR="00EC555C" w:rsidRPr="00EC555C" w:rsidRDefault="00EC555C" w:rsidP="00EC555C">
      <w:pPr>
        <w:rPr>
          <w:rFonts w:ascii="Times New Roman" w:hAnsi="Times New Roman" w:cs="Times New Roman"/>
          <w:b/>
          <w:bCs/>
          <w:sz w:val="32"/>
          <w:szCs w:val="32"/>
        </w:rPr>
      </w:pPr>
      <w:r w:rsidRPr="00EC555C">
        <w:rPr>
          <w:rFonts w:ascii="Times New Roman" w:hAnsi="Times New Roman" w:cs="Times New Roman"/>
          <w:b/>
          <w:bCs/>
          <w:sz w:val="32"/>
          <w:szCs w:val="32"/>
        </w:rPr>
        <w:t>Assessment &amp; Grading (Unchanged, Just Better Paced)</w:t>
      </w:r>
    </w:p>
    <w:p w14:paraId="51DF9648" w14:textId="77777777" w:rsidR="00EC555C" w:rsidRPr="00EC555C" w:rsidRDefault="00EC555C" w:rsidP="00EC555C">
      <w:pPr>
        <w:rPr>
          <w:rFonts w:ascii="Times New Roman" w:hAnsi="Times New Roman" w:cs="Times New Roman"/>
          <w:sz w:val="32"/>
          <w:szCs w:val="32"/>
        </w:rPr>
      </w:pPr>
      <w:r w:rsidRPr="00EC555C">
        <w:rPr>
          <w:rFonts w:ascii="Times New Roman" w:hAnsi="Times New Roman" w:cs="Times New Roman"/>
          <w:sz w:val="32"/>
          <w:szCs w:val="32"/>
        </w:rPr>
        <w:t>Participation – 25%</w:t>
      </w:r>
      <w:r w:rsidRPr="00EC555C">
        <w:rPr>
          <w:rFonts w:ascii="Times New Roman" w:hAnsi="Times New Roman" w:cs="Times New Roman"/>
          <w:sz w:val="32"/>
          <w:szCs w:val="32"/>
        </w:rPr>
        <w:br/>
        <w:t>Tasting Journal – 20%</w:t>
      </w:r>
      <w:r w:rsidRPr="00EC555C">
        <w:rPr>
          <w:rFonts w:ascii="Times New Roman" w:hAnsi="Times New Roman" w:cs="Times New Roman"/>
          <w:sz w:val="32"/>
          <w:szCs w:val="32"/>
        </w:rPr>
        <w:br/>
        <w:t>Midterm Research Paper – 20% (Due Week 10)</w:t>
      </w:r>
      <w:r w:rsidRPr="00EC555C">
        <w:rPr>
          <w:rFonts w:ascii="Times New Roman" w:hAnsi="Times New Roman" w:cs="Times New Roman"/>
          <w:sz w:val="32"/>
          <w:szCs w:val="32"/>
        </w:rPr>
        <w:br/>
        <w:t>Final Project – 25% (Presented Week 15)</w:t>
      </w:r>
      <w:r w:rsidRPr="00EC555C">
        <w:rPr>
          <w:rFonts w:ascii="Times New Roman" w:hAnsi="Times New Roman" w:cs="Times New Roman"/>
          <w:sz w:val="32"/>
          <w:szCs w:val="32"/>
        </w:rPr>
        <w:br/>
        <w:t>Final Exam – 10%</w:t>
      </w:r>
    </w:p>
    <w:p w14:paraId="117D48AD" w14:textId="77777777" w:rsidR="00B12603" w:rsidRPr="00EC555C" w:rsidRDefault="00B12603" w:rsidP="00EC555C">
      <w:pPr>
        <w:rPr>
          <w:rFonts w:ascii="Times New Roman" w:hAnsi="Times New Roman" w:cs="Times New Roman"/>
          <w:sz w:val="32"/>
          <w:szCs w:val="32"/>
        </w:rPr>
      </w:pPr>
    </w:p>
    <w:sectPr w:rsidR="00B12603" w:rsidRPr="00EC5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94C00"/>
    <w:multiLevelType w:val="multilevel"/>
    <w:tmpl w:val="9EB06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9428F"/>
    <w:multiLevelType w:val="multilevel"/>
    <w:tmpl w:val="43AC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8A2D16"/>
    <w:multiLevelType w:val="multilevel"/>
    <w:tmpl w:val="B048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41EAF"/>
    <w:multiLevelType w:val="multilevel"/>
    <w:tmpl w:val="AAC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04EB6"/>
    <w:multiLevelType w:val="multilevel"/>
    <w:tmpl w:val="B8E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76CE1"/>
    <w:multiLevelType w:val="multilevel"/>
    <w:tmpl w:val="6372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014440">
    <w:abstractNumId w:val="1"/>
  </w:num>
  <w:num w:numId="2" w16cid:durableId="1460147397">
    <w:abstractNumId w:val="3"/>
  </w:num>
  <w:num w:numId="3" w16cid:durableId="1687100385">
    <w:abstractNumId w:val="2"/>
  </w:num>
  <w:num w:numId="4" w16cid:durableId="178979638">
    <w:abstractNumId w:val="0"/>
  </w:num>
  <w:num w:numId="5" w16cid:durableId="1994597776">
    <w:abstractNumId w:val="5"/>
  </w:num>
  <w:num w:numId="6" w16cid:durableId="59698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03"/>
    <w:rsid w:val="00234779"/>
    <w:rsid w:val="003F32FD"/>
    <w:rsid w:val="00457F18"/>
    <w:rsid w:val="00540344"/>
    <w:rsid w:val="00A80BEB"/>
    <w:rsid w:val="00B12603"/>
    <w:rsid w:val="00E24082"/>
    <w:rsid w:val="00E96A61"/>
    <w:rsid w:val="00EC5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DFE9"/>
  <w15:chartTrackingRefBased/>
  <w15:docId w15:val="{845B0E32-97CC-47DD-95D6-C4E6189F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603"/>
    <w:rPr>
      <w:rFonts w:eastAsiaTheme="majorEastAsia" w:cstheme="majorBidi"/>
      <w:color w:val="272727" w:themeColor="text1" w:themeTint="D8"/>
    </w:rPr>
  </w:style>
  <w:style w:type="paragraph" w:styleId="Title">
    <w:name w:val="Title"/>
    <w:basedOn w:val="Normal"/>
    <w:next w:val="Normal"/>
    <w:link w:val="TitleChar"/>
    <w:uiPriority w:val="10"/>
    <w:qFormat/>
    <w:rsid w:val="00B12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603"/>
    <w:pPr>
      <w:spacing w:before="160"/>
      <w:jc w:val="center"/>
    </w:pPr>
    <w:rPr>
      <w:i/>
      <w:iCs/>
      <w:color w:val="404040" w:themeColor="text1" w:themeTint="BF"/>
    </w:rPr>
  </w:style>
  <w:style w:type="character" w:customStyle="1" w:styleId="QuoteChar">
    <w:name w:val="Quote Char"/>
    <w:basedOn w:val="DefaultParagraphFont"/>
    <w:link w:val="Quote"/>
    <w:uiPriority w:val="29"/>
    <w:rsid w:val="00B12603"/>
    <w:rPr>
      <w:i/>
      <w:iCs/>
      <w:color w:val="404040" w:themeColor="text1" w:themeTint="BF"/>
    </w:rPr>
  </w:style>
  <w:style w:type="paragraph" w:styleId="ListParagraph">
    <w:name w:val="List Paragraph"/>
    <w:basedOn w:val="Normal"/>
    <w:uiPriority w:val="34"/>
    <w:qFormat/>
    <w:rsid w:val="00B12603"/>
    <w:pPr>
      <w:ind w:left="720"/>
      <w:contextualSpacing/>
    </w:pPr>
  </w:style>
  <w:style w:type="character" w:styleId="IntenseEmphasis">
    <w:name w:val="Intense Emphasis"/>
    <w:basedOn w:val="DefaultParagraphFont"/>
    <w:uiPriority w:val="21"/>
    <w:qFormat/>
    <w:rsid w:val="00B12603"/>
    <w:rPr>
      <w:i/>
      <w:iCs/>
      <w:color w:val="2F5496" w:themeColor="accent1" w:themeShade="BF"/>
    </w:rPr>
  </w:style>
  <w:style w:type="paragraph" w:styleId="IntenseQuote">
    <w:name w:val="Intense Quote"/>
    <w:basedOn w:val="Normal"/>
    <w:next w:val="Normal"/>
    <w:link w:val="IntenseQuoteChar"/>
    <w:uiPriority w:val="30"/>
    <w:qFormat/>
    <w:rsid w:val="00B12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603"/>
    <w:rPr>
      <w:i/>
      <w:iCs/>
      <w:color w:val="2F5496" w:themeColor="accent1" w:themeShade="BF"/>
    </w:rPr>
  </w:style>
  <w:style w:type="character" w:styleId="IntenseReference">
    <w:name w:val="Intense Reference"/>
    <w:basedOn w:val="DefaultParagraphFont"/>
    <w:uiPriority w:val="32"/>
    <w:qFormat/>
    <w:rsid w:val="00B12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45736">
      <w:bodyDiv w:val="1"/>
      <w:marLeft w:val="0"/>
      <w:marRight w:val="0"/>
      <w:marTop w:val="0"/>
      <w:marBottom w:val="0"/>
      <w:divBdr>
        <w:top w:val="none" w:sz="0" w:space="0" w:color="auto"/>
        <w:left w:val="none" w:sz="0" w:space="0" w:color="auto"/>
        <w:bottom w:val="none" w:sz="0" w:space="0" w:color="auto"/>
        <w:right w:val="none" w:sz="0" w:space="0" w:color="auto"/>
      </w:divBdr>
    </w:div>
    <w:div w:id="1331255255">
      <w:bodyDiv w:val="1"/>
      <w:marLeft w:val="0"/>
      <w:marRight w:val="0"/>
      <w:marTop w:val="0"/>
      <w:marBottom w:val="0"/>
      <w:divBdr>
        <w:top w:val="none" w:sz="0" w:space="0" w:color="auto"/>
        <w:left w:val="none" w:sz="0" w:space="0" w:color="auto"/>
        <w:bottom w:val="none" w:sz="0" w:space="0" w:color="auto"/>
        <w:right w:val="none" w:sz="0" w:space="0" w:color="auto"/>
      </w:divBdr>
    </w:div>
    <w:div w:id="1430154990">
      <w:bodyDiv w:val="1"/>
      <w:marLeft w:val="0"/>
      <w:marRight w:val="0"/>
      <w:marTop w:val="0"/>
      <w:marBottom w:val="0"/>
      <w:divBdr>
        <w:top w:val="none" w:sz="0" w:space="0" w:color="auto"/>
        <w:left w:val="none" w:sz="0" w:space="0" w:color="auto"/>
        <w:bottom w:val="none" w:sz="0" w:space="0" w:color="auto"/>
        <w:right w:val="none" w:sz="0" w:space="0" w:color="auto"/>
      </w:divBdr>
      <w:divsChild>
        <w:div w:id="1380742955">
          <w:marLeft w:val="0"/>
          <w:marRight w:val="0"/>
          <w:marTop w:val="0"/>
          <w:marBottom w:val="0"/>
          <w:divBdr>
            <w:top w:val="none" w:sz="0" w:space="0" w:color="auto"/>
            <w:left w:val="none" w:sz="0" w:space="0" w:color="auto"/>
            <w:bottom w:val="none" w:sz="0" w:space="0" w:color="auto"/>
            <w:right w:val="none" w:sz="0" w:space="0" w:color="auto"/>
          </w:divBdr>
        </w:div>
      </w:divsChild>
    </w:div>
    <w:div w:id="1667588030">
      <w:bodyDiv w:val="1"/>
      <w:marLeft w:val="0"/>
      <w:marRight w:val="0"/>
      <w:marTop w:val="0"/>
      <w:marBottom w:val="0"/>
      <w:divBdr>
        <w:top w:val="none" w:sz="0" w:space="0" w:color="auto"/>
        <w:left w:val="none" w:sz="0" w:space="0" w:color="auto"/>
        <w:bottom w:val="none" w:sz="0" w:space="0" w:color="auto"/>
        <w:right w:val="none" w:sz="0" w:space="0" w:color="auto"/>
      </w:divBdr>
      <w:divsChild>
        <w:div w:id="41690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2025-03-08T16:31:00Z</dcterms:created>
  <dcterms:modified xsi:type="dcterms:W3CDTF">2026-01-07T17:51:00Z</dcterms:modified>
</cp:coreProperties>
</file>