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E9FF"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Niagara Escarpment Region</w:t>
      </w:r>
    </w:p>
    <w:p w14:paraId="5FA88E83" w14:textId="77777777" w:rsidR="007D1BE1" w:rsidRPr="007E3771" w:rsidRDefault="00000000" w:rsidP="007D1BE1">
      <w:pPr>
        <w:rPr>
          <w:rFonts w:ascii="Times New Roman" w:hAnsi="Times New Roman" w:cs="Times New Roman"/>
          <w:sz w:val="32"/>
          <w:szCs w:val="32"/>
        </w:rPr>
      </w:pPr>
      <w:r w:rsidRPr="007E3771">
        <w:rPr>
          <w:rFonts w:ascii="Times New Roman" w:hAnsi="Times New Roman" w:cs="Times New Roman"/>
          <w:sz w:val="32"/>
          <w:szCs w:val="32"/>
        </w:rPr>
        <w:pict w14:anchorId="31BE5FEA">
          <v:rect id="_x0000_i1025" style="width:0;height:1.5pt" o:hralign="center" o:hrstd="t" o:hr="t" fillcolor="#a0a0a0" stroked="f"/>
        </w:pict>
      </w:r>
    </w:p>
    <w:p w14:paraId="60701E3D" w14:textId="77777777" w:rsidR="007D1BE1" w:rsidRPr="007E3771" w:rsidRDefault="007D1BE1" w:rsidP="007D1BE1">
      <w:pPr>
        <w:rPr>
          <w:rFonts w:ascii="Times New Roman" w:hAnsi="Times New Roman" w:cs="Times New Roman"/>
          <w:b/>
          <w:bCs/>
          <w:sz w:val="32"/>
          <w:szCs w:val="32"/>
        </w:rPr>
      </w:pPr>
      <w:r w:rsidRPr="007E3771">
        <w:rPr>
          <w:rFonts w:ascii="Times New Roman" w:hAnsi="Times New Roman" w:cs="Times New Roman"/>
          <w:b/>
          <w:bCs/>
          <w:sz w:val="32"/>
          <w:szCs w:val="32"/>
        </w:rPr>
        <w:t>1. Region Overview</w:t>
      </w:r>
    </w:p>
    <w:p w14:paraId="48450485"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sz w:val="32"/>
          <w:szCs w:val="32"/>
        </w:rPr>
        <w:t xml:space="preserve">The Niagara Escarpment, a UNESCO World Biosphere Reserve, is a defining geological feature of southern Ontario’s wine country, stretching from Niagara Falls to the Bruce Peninsula. Within the </w:t>
      </w:r>
      <w:r w:rsidRPr="007E3771">
        <w:rPr>
          <w:rFonts w:ascii="Times New Roman" w:hAnsi="Times New Roman" w:cs="Times New Roman"/>
          <w:b/>
          <w:bCs/>
          <w:sz w:val="32"/>
          <w:szCs w:val="32"/>
        </w:rPr>
        <w:t>Niagara Peninsula AVA</w:t>
      </w:r>
      <w:r w:rsidRPr="007E3771">
        <w:rPr>
          <w:rFonts w:ascii="Times New Roman" w:hAnsi="Times New Roman" w:cs="Times New Roman"/>
          <w:sz w:val="32"/>
          <w:szCs w:val="32"/>
        </w:rPr>
        <w:t>, this limestone-rich ridge creates a unique terroir marked by steep slopes, shallow soils, and excellent drainage. The climate is moderated by Lake Ontario, which delays spring frosts, extends the growing season, and tempers summer heat, while the escarpment’s elevation (90–150 meters) enhances airflow and sunlight exposure.</w:t>
      </w:r>
    </w:p>
    <w:p w14:paraId="1ACB2D8C"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sz w:val="32"/>
          <w:szCs w:val="32"/>
        </w:rPr>
        <w:t xml:space="preserve">Home to </w:t>
      </w:r>
      <w:r w:rsidRPr="007E3771">
        <w:rPr>
          <w:rFonts w:ascii="Times New Roman" w:hAnsi="Times New Roman" w:cs="Times New Roman"/>
          <w:b/>
          <w:bCs/>
          <w:sz w:val="32"/>
          <w:szCs w:val="32"/>
        </w:rPr>
        <w:t>sub-appellations</w:t>
      </w:r>
      <w:r w:rsidRPr="007E3771">
        <w:rPr>
          <w:rFonts w:ascii="Times New Roman" w:hAnsi="Times New Roman" w:cs="Times New Roman"/>
          <w:sz w:val="32"/>
          <w:szCs w:val="32"/>
        </w:rPr>
        <w:t xml:space="preserve"> like Twenty Mile Bench, </w:t>
      </w:r>
      <w:proofErr w:type="spellStart"/>
      <w:r w:rsidRPr="007E3771">
        <w:rPr>
          <w:rFonts w:ascii="Times New Roman" w:hAnsi="Times New Roman" w:cs="Times New Roman"/>
          <w:sz w:val="32"/>
          <w:szCs w:val="32"/>
        </w:rPr>
        <w:t>Beamsville</w:t>
      </w:r>
      <w:proofErr w:type="spellEnd"/>
      <w:r w:rsidRPr="007E3771">
        <w:rPr>
          <w:rFonts w:ascii="Times New Roman" w:hAnsi="Times New Roman" w:cs="Times New Roman"/>
          <w:sz w:val="32"/>
          <w:szCs w:val="32"/>
        </w:rPr>
        <w:t xml:space="preserve"> Bench, and Short Hills Bench, the Niagara Escarpment is Ontario’s epicenter of cool-climate viticulture. Its 2,500 acres of vineyards produce mineral-driven Riesling, structured Chardonnay, and elegant Pinot Noir, accounting for </w:t>
      </w:r>
      <w:r w:rsidRPr="007E3771">
        <w:rPr>
          <w:rFonts w:ascii="Times New Roman" w:hAnsi="Times New Roman" w:cs="Times New Roman"/>
          <w:b/>
          <w:bCs/>
          <w:sz w:val="32"/>
          <w:szCs w:val="32"/>
        </w:rPr>
        <w:t>30% of Ontario’s VQA wine production</w:t>
      </w:r>
      <w:r w:rsidRPr="007E3771">
        <w:rPr>
          <w:rFonts w:ascii="Times New Roman" w:hAnsi="Times New Roman" w:cs="Times New Roman"/>
          <w:sz w:val="32"/>
          <w:szCs w:val="32"/>
        </w:rPr>
        <w:t>. The region’s reputation hinges on terroir transparency, sustainable practices, and a pioneering spirit that has reshaped Canadian wine quality.</w:t>
      </w:r>
    </w:p>
    <w:p w14:paraId="7F9F156B" w14:textId="77777777" w:rsidR="007D1BE1" w:rsidRPr="007E3771" w:rsidRDefault="00000000" w:rsidP="007D1BE1">
      <w:pPr>
        <w:rPr>
          <w:rFonts w:ascii="Times New Roman" w:hAnsi="Times New Roman" w:cs="Times New Roman"/>
          <w:sz w:val="32"/>
          <w:szCs w:val="32"/>
        </w:rPr>
      </w:pPr>
      <w:r w:rsidRPr="007E3771">
        <w:rPr>
          <w:rFonts w:ascii="Times New Roman" w:hAnsi="Times New Roman" w:cs="Times New Roman"/>
          <w:sz w:val="32"/>
          <w:szCs w:val="32"/>
        </w:rPr>
        <w:pict w14:anchorId="6F725545">
          <v:rect id="_x0000_i1026" style="width:0;height:1.5pt" o:hralign="center" o:hrstd="t" o:hr="t" fillcolor="#a0a0a0" stroked="f"/>
        </w:pict>
      </w:r>
    </w:p>
    <w:p w14:paraId="1505A79B" w14:textId="77777777" w:rsidR="007D1BE1" w:rsidRPr="007E3771" w:rsidRDefault="007D1BE1" w:rsidP="007D1BE1">
      <w:pPr>
        <w:rPr>
          <w:rFonts w:ascii="Times New Roman" w:hAnsi="Times New Roman" w:cs="Times New Roman"/>
          <w:b/>
          <w:bCs/>
          <w:sz w:val="32"/>
          <w:szCs w:val="32"/>
        </w:rPr>
      </w:pPr>
      <w:r w:rsidRPr="007E3771">
        <w:rPr>
          <w:rFonts w:ascii="Times New Roman" w:hAnsi="Times New Roman" w:cs="Times New Roman"/>
          <w:b/>
          <w:bCs/>
          <w:sz w:val="32"/>
          <w:szCs w:val="32"/>
        </w:rPr>
        <w:t>2. Key Grape Varieties</w:t>
      </w:r>
    </w:p>
    <w:p w14:paraId="14FB90FF"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Primary Red Varieties</w:t>
      </w:r>
      <w:r w:rsidRPr="007E3771">
        <w:rPr>
          <w:rFonts w:ascii="Times New Roman" w:hAnsi="Times New Roman" w:cs="Times New Roman"/>
          <w:sz w:val="32"/>
          <w:szCs w:val="32"/>
        </w:rPr>
        <w:t>:</w:t>
      </w:r>
    </w:p>
    <w:p w14:paraId="11F63625" w14:textId="77777777" w:rsidR="007D1BE1" w:rsidRPr="007E3771" w:rsidRDefault="007D1BE1" w:rsidP="007D1BE1">
      <w:pPr>
        <w:numPr>
          <w:ilvl w:val="0"/>
          <w:numId w:val="1"/>
        </w:numPr>
        <w:rPr>
          <w:rFonts w:ascii="Times New Roman" w:hAnsi="Times New Roman" w:cs="Times New Roman"/>
          <w:sz w:val="32"/>
          <w:szCs w:val="32"/>
        </w:rPr>
      </w:pPr>
      <w:r w:rsidRPr="007E3771">
        <w:rPr>
          <w:rFonts w:ascii="Times New Roman" w:hAnsi="Times New Roman" w:cs="Times New Roman"/>
          <w:b/>
          <w:bCs/>
          <w:sz w:val="32"/>
          <w:szCs w:val="32"/>
        </w:rPr>
        <w:t>Pinot Noir</w:t>
      </w:r>
      <w:r w:rsidRPr="007E3771">
        <w:rPr>
          <w:rFonts w:ascii="Times New Roman" w:hAnsi="Times New Roman" w:cs="Times New Roman"/>
          <w:sz w:val="32"/>
          <w:szCs w:val="32"/>
        </w:rPr>
        <w:t>: Thrives on the escarpment’s slopes, offering red cherry, earthy undertones, and silky tannins.</w:t>
      </w:r>
    </w:p>
    <w:p w14:paraId="2D87E310" w14:textId="77777777" w:rsidR="007D1BE1" w:rsidRPr="007E3771" w:rsidRDefault="007D1BE1" w:rsidP="007D1BE1">
      <w:pPr>
        <w:numPr>
          <w:ilvl w:val="0"/>
          <w:numId w:val="1"/>
        </w:numPr>
        <w:rPr>
          <w:rFonts w:ascii="Times New Roman" w:hAnsi="Times New Roman" w:cs="Times New Roman"/>
          <w:sz w:val="32"/>
          <w:szCs w:val="32"/>
        </w:rPr>
      </w:pPr>
      <w:r w:rsidRPr="007E3771">
        <w:rPr>
          <w:rFonts w:ascii="Times New Roman" w:hAnsi="Times New Roman" w:cs="Times New Roman"/>
          <w:b/>
          <w:bCs/>
          <w:sz w:val="32"/>
          <w:szCs w:val="32"/>
        </w:rPr>
        <w:t>Cabernet Franc</w:t>
      </w:r>
      <w:r w:rsidRPr="007E3771">
        <w:rPr>
          <w:rFonts w:ascii="Times New Roman" w:hAnsi="Times New Roman" w:cs="Times New Roman"/>
          <w:sz w:val="32"/>
          <w:szCs w:val="32"/>
        </w:rPr>
        <w:t>: Grown in warmer pockets, delivering herbal complexity and raspberry-cassis notes.</w:t>
      </w:r>
    </w:p>
    <w:p w14:paraId="511EAA70" w14:textId="77777777" w:rsidR="007D1BE1" w:rsidRPr="007E3771" w:rsidRDefault="007D1BE1" w:rsidP="007D1BE1">
      <w:pPr>
        <w:numPr>
          <w:ilvl w:val="0"/>
          <w:numId w:val="1"/>
        </w:numPr>
        <w:rPr>
          <w:rFonts w:ascii="Times New Roman" w:hAnsi="Times New Roman" w:cs="Times New Roman"/>
          <w:sz w:val="32"/>
          <w:szCs w:val="32"/>
        </w:rPr>
      </w:pPr>
      <w:r w:rsidRPr="007E3771">
        <w:rPr>
          <w:rFonts w:ascii="Times New Roman" w:hAnsi="Times New Roman" w:cs="Times New Roman"/>
          <w:b/>
          <w:bCs/>
          <w:sz w:val="32"/>
          <w:szCs w:val="32"/>
        </w:rPr>
        <w:lastRenderedPageBreak/>
        <w:t>Gamay</w:t>
      </w:r>
      <w:r w:rsidRPr="007E3771">
        <w:rPr>
          <w:rFonts w:ascii="Times New Roman" w:hAnsi="Times New Roman" w:cs="Times New Roman"/>
          <w:sz w:val="32"/>
          <w:szCs w:val="32"/>
        </w:rPr>
        <w:t>: Emerging in lighter styles with floral and red fruit profiles.</w:t>
      </w:r>
    </w:p>
    <w:p w14:paraId="207D6B6C"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Primary White Varieties</w:t>
      </w:r>
      <w:r w:rsidRPr="007E3771">
        <w:rPr>
          <w:rFonts w:ascii="Times New Roman" w:hAnsi="Times New Roman" w:cs="Times New Roman"/>
          <w:sz w:val="32"/>
          <w:szCs w:val="32"/>
        </w:rPr>
        <w:t>:</w:t>
      </w:r>
    </w:p>
    <w:p w14:paraId="068ED4D2" w14:textId="77777777" w:rsidR="007D1BE1" w:rsidRPr="007E3771" w:rsidRDefault="007D1BE1" w:rsidP="007D1BE1">
      <w:pPr>
        <w:numPr>
          <w:ilvl w:val="0"/>
          <w:numId w:val="2"/>
        </w:numPr>
        <w:rPr>
          <w:rFonts w:ascii="Times New Roman" w:hAnsi="Times New Roman" w:cs="Times New Roman"/>
          <w:sz w:val="32"/>
          <w:szCs w:val="32"/>
        </w:rPr>
      </w:pPr>
      <w:r w:rsidRPr="007E3771">
        <w:rPr>
          <w:rFonts w:ascii="Times New Roman" w:hAnsi="Times New Roman" w:cs="Times New Roman"/>
          <w:b/>
          <w:bCs/>
          <w:sz w:val="32"/>
          <w:szCs w:val="32"/>
        </w:rPr>
        <w:t>Riesling</w:t>
      </w:r>
      <w:r w:rsidRPr="007E3771">
        <w:rPr>
          <w:rFonts w:ascii="Times New Roman" w:hAnsi="Times New Roman" w:cs="Times New Roman"/>
          <w:sz w:val="32"/>
          <w:szCs w:val="32"/>
        </w:rPr>
        <w:t>: The region’s crown jewel, showcasing lime, green apple, and wet stone minerality, from bone-dry to off-dry expressions.</w:t>
      </w:r>
    </w:p>
    <w:p w14:paraId="308733D0" w14:textId="77777777" w:rsidR="007D1BE1" w:rsidRPr="007E3771" w:rsidRDefault="007D1BE1" w:rsidP="007D1BE1">
      <w:pPr>
        <w:numPr>
          <w:ilvl w:val="0"/>
          <w:numId w:val="2"/>
        </w:numPr>
        <w:rPr>
          <w:rFonts w:ascii="Times New Roman" w:hAnsi="Times New Roman" w:cs="Times New Roman"/>
          <w:sz w:val="32"/>
          <w:szCs w:val="32"/>
        </w:rPr>
      </w:pPr>
      <w:r w:rsidRPr="007E3771">
        <w:rPr>
          <w:rFonts w:ascii="Times New Roman" w:hAnsi="Times New Roman" w:cs="Times New Roman"/>
          <w:b/>
          <w:bCs/>
          <w:sz w:val="32"/>
          <w:szCs w:val="32"/>
        </w:rPr>
        <w:t>Chardonnay</w:t>
      </w:r>
      <w:r w:rsidRPr="007E3771">
        <w:rPr>
          <w:rFonts w:ascii="Times New Roman" w:hAnsi="Times New Roman" w:cs="Times New Roman"/>
          <w:sz w:val="32"/>
          <w:szCs w:val="32"/>
        </w:rPr>
        <w:t>: Ranges from crisp, unoaked styles to rich, barrel-fermented wines with notes of citrus and toasted almond.</w:t>
      </w:r>
    </w:p>
    <w:p w14:paraId="4DDB7CE4"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Heritage/Notable Varieties</w:t>
      </w:r>
      <w:r w:rsidRPr="007E3771">
        <w:rPr>
          <w:rFonts w:ascii="Times New Roman" w:hAnsi="Times New Roman" w:cs="Times New Roman"/>
          <w:sz w:val="32"/>
          <w:szCs w:val="32"/>
        </w:rPr>
        <w:t>:</w:t>
      </w:r>
    </w:p>
    <w:p w14:paraId="785317DB" w14:textId="77777777" w:rsidR="007D1BE1" w:rsidRPr="007E3771" w:rsidRDefault="007D1BE1" w:rsidP="007D1BE1">
      <w:pPr>
        <w:numPr>
          <w:ilvl w:val="0"/>
          <w:numId w:val="3"/>
        </w:numPr>
        <w:rPr>
          <w:rFonts w:ascii="Times New Roman" w:hAnsi="Times New Roman" w:cs="Times New Roman"/>
          <w:sz w:val="32"/>
          <w:szCs w:val="32"/>
        </w:rPr>
      </w:pPr>
      <w:r w:rsidRPr="007E3771">
        <w:rPr>
          <w:rFonts w:ascii="Times New Roman" w:hAnsi="Times New Roman" w:cs="Times New Roman"/>
          <w:b/>
          <w:bCs/>
          <w:sz w:val="32"/>
          <w:szCs w:val="32"/>
        </w:rPr>
        <w:t>Vidal Blanc</w:t>
      </w:r>
      <w:r w:rsidRPr="007E3771">
        <w:rPr>
          <w:rFonts w:ascii="Times New Roman" w:hAnsi="Times New Roman" w:cs="Times New Roman"/>
          <w:sz w:val="32"/>
          <w:szCs w:val="32"/>
        </w:rPr>
        <w:t>: Limited plantings for late-harvest wines, though less common than in Niagara-on-the-Lake.</w:t>
      </w:r>
    </w:p>
    <w:p w14:paraId="26C73561"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International Varieties</w:t>
      </w:r>
      <w:r w:rsidRPr="007E3771">
        <w:rPr>
          <w:rFonts w:ascii="Times New Roman" w:hAnsi="Times New Roman" w:cs="Times New Roman"/>
          <w:sz w:val="32"/>
          <w:szCs w:val="32"/>
        </w:rPr>
        <w:t>:</w:t>
      </w:r>
      <w:r w:rsidRPr="007E3771">
        <w:rPr>
          <w:rFonts w:ascii="Times New Roman" w:hAnsi="Times New Roman" w:cs="Times New Roman"/>
          <w:sz w:val="32"/>
          <w:szCs w:val="32"/>
        </w:rPr>
        <w:br/>
        <w:t>Syrah and Sauvignon Blanc are experimental highlights in warmer microclimates.</w:t>
      </w:r>
    </w:p>
    <w:p w14:paraId="435797CA" w14:textId="77777777" w:rsidR="007D1BE1" w:rsidRPr="007E3771" w:rsidRDefault="00000000" w:rsidP="007D1BE1">
      <w:pPr>
        <w:rPr>
          <w:rFonts w:ascii="Times New Roman" w:hAnsi="Times New Roman" w:cs="Times New Roman"/>
          <w:sz w:val="32"/>
          <w:szCs w:val="32"/>
        </w:rPr>
      </w:pPr>
      <w:r w:rsidRPr="007E3771">
        <w:rPr>
          <w:rFonts w:ascii="Times New Roman" w:hAnsi="Times New Roman" w:cs="Times New Roman"/>
          <w:sz w:val="32"/>
          <w:szCs w:val="32"/>
        </w:rPr>
        <w:pict w14:anchorId="103E19ED">
          <v:rect id="_x0000_i1027" style="width:0;height:1.5pt" o:hralign="center" o:hrstd="t" o:hr="t" fillcolor="#a0a0a0" stroked="f"/>
        </w:pict>
      </w:r>
    </w:p>
    <w:p w14:paraId="1266FA26" w14:textId="77777777" w:rsidR="007D1BE1" w:rsidRPr="007E3771" w:rsidRDefault="007D1BE1" w:rsidP="007D1BE1">
      <w:pPr>
        <w:rPr>
          <w:rFonts w:ascii="Times New Roman" w:hAnsi="Times New Roman" w:cs="Times New Roman"/>
          <w:b/>
          <w:bCs/>
          <w:sz w:val="32"/>
          <w:szCs w:val="32"/>
        </w:rPr>
      </w:pPr>
      <w:r w:rsidRPr="007E3771">
        <w:rPr>
          <w:rFonts w:ascii="Times New Roman" w:hAnsi="Times New Roman" w:cs="Times New Roman"/>
          <w:b/>
          <w:bCs/>
          <w:sz w:val="32"/>
          <w:szCs w:val="32"/>
        </w:rPr>
        <w:t>3. Wine Classification System</w:t>
      </w:r>
    </w:p>
    <w:p w14:paraId="13974E83"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sz w:val="32"/>
          <w:szCs w:val="32"/>
        </w:rPr>
        <w:t xml:space="preserve">The Niagara Escarpment operates under Ontario’s </w:t>
      </w:r>
      <w:r w:rsidRPr="007E3771">
        <w:rPr>
          <w:rFonts w:ascii="Times New Roman" w:hAnsi="Times New Roman" w:cs="Times New Roman"/>
          <w:b/>
          <w:bCs/>
          <w:sz w:val="32"/>
          <w:szCs w:val="32"/>
        </w:rPr>
        <w:t>Vintners Quality Alliance (VQA)</w:t>
      </w:r>
      <w:r w:rsidRPr="007E3771">
        <w:rPr>
          <w:rFonts w:ascii="Times New Roman" w:hAnsi="Times New Roman" w:cs="Times New Roman"/>
          <w:sz w:val="32"/>
          <w:szCs w:val="32"/>
        </w:rPr>
        <w:t>, with strict standards:</w:t>
      </w:r>
    </w:p>
    <w:p w14:paraId="2EABAEBD" w14:textId="77777777" w:rsidR="007D1BE1" w:rsidRPr="007E3771" w:rsidRDefault="007D1BE1" w:rsidP="007D1BE1">
      <w:pPr>
        <w:numPr>
          <w:ilvl w:val="0"/>
          <w:numId w:val="4"/>
        </w:numPr>
        <w:rPr>
          <w:rFonts w:ascii="Times New Roman" w:hAnsi="Times New Roman" w:cs="Times New Roman"/>
          <w:sz w:val="32"/>
          <w:szCs w:val="32"/>
        </w:rPr>
      </w:pPr>
      <w:r w:rsidRPr="007E3771">
        <w:rPr>
          <w:rFonts w:ascii="Times New Roman" w:hAnsi="Times New Roman" w:cs="Times New Roman"/>
          <w:b/>
          <w:bCs/>
          <w:sz w:val="32"/>
          <w:szCs w:val="32"/>
        </w:rPr>
        <w:t>Geographic Integrity</w:t>
      </w:r>
      <w:r w:rsidRPr="007E3771">
        <w:rPr>
          <w:rFonts w:ascii="Times New Roman" w:hAnsi="Times New Roman" w:cs="Times New Roman"/>
          <w:sz w:val="32"/>
          <w:szCs w:val="32"/>
        </w:rPr>
        <w:t>: 100% of grapes must originate from the designated sub-appellation.</w:t>
      </w:r>
    </w:p>
    <w:p w14:paraId="0B5B5684" w14:textId="77777777" w:rsidR="007D1BE1" w:rsidRPr="007E3771" w:rsidRDefault="007D1BE1" w:rsidP="007D1BE1">
      <w:pPr>
        <w:numPr>
          <w:ilvl w:val="0"/>
          <w:numId w:val="4"/>
        </w:numPr>
        <w:rPr>
          <w:rFonts w:ascii="Times New Roman" w:hAnsi="Times New Roman" w:cs="Times New Roman"/>
          <w:sz w:val="32"/>
          <w:szCs w:val="32"/>
        </w:rPr>
      </w:pPr>
      <w:r w:rsidRPr="007E3771">
        <w:rPr>
          <w:rFonts w:ascii="Times New Roman" w:hAnsi="Times New Roman" w:cs="Times New Roman"/>
          <w:b/>
          <w:bCs/>
          <w:sz w:val="32"/>
          <w:szCs w:val="32"/>
        </w:rPr>
        <w:t>Sub-Appellations</w:t>
      </w:r>
      <w:r w:rsidRPr="007E3771">
        <w:rPr>
          <w:rFonts w:ascii="Times New Roman" w:hAnsi="Times New Roman" w:cs="Times New Roman"/>
          <w:sz w:val="32"/>
          <w:szCs w:val="32"/>
        </w:rPr>
        <w:t>:</w:t>
      </w:r>
    </w:p>
    <w:p w14:paraId="4A12AEDD" w14:textId="77777777" w:rsidR="007D1BE1" w:rsidRPr="007E3771" w:rsidRDefault="007D1BE1" w:rsidP="007D1BE1">
      <w:pPr>
        <w:numPr>
          <w:ilvl w:val="1"/>
          <w:numId w:val="4"/>
        </w:numPr>
        <w:rPr>
          <w:rFonts w:ascii="Times New Roman" w:hAnsi="Times New Roman" w:cs="Times New Roman"/>
          <w:sz w:val="32"/>
          <w:szCs w:val="32"/>
        </w:rPr>
      </w:pPr>
      <w:r w:rsidRPr="007E3771">
        <w:rPr>
          <w:rFonts w:ascii="Times New Roman" w:hAnsi="Times New Roman" w:cs="Times New Roman"/>
          <w:b/>
          <w:bCs/>
          <w:sz w:val="32"/>
          <w:szCs w:val="32"/>
        </w:rPr>
        <w:t>Twenty Mile Bench</w:t>
      </w:r>
      <w:r w:rsidRPr="007E3771">
        <w:rPr>
          <w:rFonts w:ascii="Times New Roman" w:hAnsi="Times New Roman" w:cs="Times New Roman"/>
          <w:sz w:val="32"/>
          <w:szCs w:val="32"/>
        </w:rPr>
        <w:t>: Limestone and clay soils; renowned for structured Riesling and Pinot Noir.</w:t>
      </w:r>
    </w:p>
    <w:p w14:paraId="49CB34DE" w14:textId="77777777" w:rsidR="007D1BE1" w:rsidRPr="007E3771" w:rsidRDefault="007D1BE1" w:rsidP="007D1BE1">
      <w:pPr>
        <w:numPr>
          <w:ilvl w:val="1"/>
          <w:numId w:val="4"/>
        </w:numPr>
        <w:rPr>
          <w:rFonts w:ascii="Times New Roman" w:hAnsi="Times New Roman" w:cs="Times New Roman"/>
          <w:sz w:val="32"/>
          <w:szCs w:val="32"/>
        </w:rPr>
      </w:pPr>
      <w:proofErr w:type="spellStart"/>
      <w:r w:rsidRPr="007E3771">
        <w:rPr>
          <w:rFonts w:ascii="Times New Roman" w:hAnsi="Times New Roman" w:cs="Times New Roman"/>
          <w:b/>
          <w:bCs/>
          <w:sz w:val="32"/>
          <w:szCs w:val="32"/>
        </w:rPr>
        <w:t>Beamsville</w:t>
      </w:r>
      <w:proofErr w:type="spellEnd"/>
      <w:r w:rsidRPr="007E3771">
        <w:rPr>
          <w:rFonts w:ascii="Times New Roman" w:hAnsi="Times New Roman" w:cs="Times New Roman"/>
          <w:b/>
          <w:bCs/>
          <w:sz w:val="32"/>
          <w:szCs w:val="32"/>
        </w:rPr>
        <w:t xml:space="preserve"> Bench</w:t>
      </w:r>
      <w:r w:rsidRPr="007E3771">
        <w:rPr>
          <w:rFonts w:ascii="Times New Roman" w:hAnsi="Times New Roman" w:cs="Times New Roman"/>
          <w:sz w:val="32"/>
          <w:szCs w:val="32"/>
        </w:rPr>
        <w:t>: Sheltered slopes with glacial till; ideal for aromatic whites and elegant reds.</w:t>
      </w:r>
    </w:p>
    <w:p w14:paraId="13B807A9" w14:textId="77777777" w:rsidR="007D1BE1" w:rsidRPr="007E3771" w:rsidRDefault="007D1BE1" w:rsidP="007D1BE1">
      <w:pPr>
        <w:numPr>
          <w:ilvl w:val="1"/>
          <w:numId w:val="4"/>
        </w:numPr>
        <w:rPr>
          <w:rFonts w:ascii="Times New Roman" w:hAnsi="Times New Roman" w:cs="Times New Roman"/>
          <w:sz w:val="32"/>
          <w:szCs w:val="32"/>
        </w:rPr>
      </w:pPr>
      <w:r w:rsidRPr="007E3771">
        <w:rPr>
          <w:rFonts w:ascii="Times New Roman" w:hAnsi="Times New Roman" w:cs="Times New Roman"/>
          <w:b/>
          <w:bCs/>
          <w:sz w:val="32"/>
          <w:szCs w:val="32"/>
        </w:rPr>
        <w:lastRenderedPageBreak/>
        <w:t>Short Hills Bench</w:t>
      </w:r>
      <w:r w:rsidRPr="007E3771">
        <w:rPr>
          <w:rFonts w:ascii="Times New Roman" w:hAnsi="Times New Roman" w:cs="Times New Roman"/>
          <w:sz w:val="32"/>
          <w:szCs w:val="32"/>
        </w:rPr>
        <w:t>: Coolest zone, producing high-acid Chardonnay and sparkling wines.</w:t>
      </w:r>
    </w:p>
    <w:p w14:paraId="160A9E29" w14:textId="77777777" w:rsidR="007D1BE1" w:rsidRPr="007E3771" w:rsidRDefault="007D1BE1" w:rsidP="007D1BE1">
      <w:pPr>
        <w:numPr>
          <w:ilvl w:val="0"/>
          <w:numId w:val="4"/>
        </w:numPr>
        <w:rPr>
          <w:rFonts w:ascii="Times New Roman" w:hAnsi="Times New Roman" w:cs="Times New Roman"/>
          <w:sz w:val="32"/>
          <w:szCs w:val="32"/>
        </w:rPr>
      </w:pPr>
      <w:r w:rsidRPr="007E3771">
        <w:rPr>
          <w:rFonts w:ascii="Times New Roman" w:hAnsi="Times New Roman" w:cs="Times New Roman"/>
          <w:b/>
          <w:bCs/>
          <w:sz w:val="32"/>
          <w:szCs w:val="32"/>
        </w:rPr>
        <w:t>Quality Benchmarks</w:t>
      </w:r>
      <w:r w:rsidRPr="007E3771">
        <w:rPr>
          <w:rFonts w:ascii="Times New Roman" w:hAnsi="Times New Roman" w:cs="Times New Roman"/>
          <w:sz w:val="32"/>
          <w:szCs w:val="32"/>
        </w:rPr>
        <w:t>: Minimum Brix levels, sensory evaluations, and approved varieties.</w:t>
      </w:r>
    </w:p>
    <w:p w14:paraId="3062547A" w14:textId="77777777" w:rsidR="007D1BE1" w:rsidRPr="007E3771" w:rsidRDefault="00000000" w:rsidP="007D1BE1">
      <w:pPr>
        <w:rPr>
          <w:rFonts w:ascii="Times New Roman" w:hAnsi="Times New Roman" w:cs="Times New Roman"/>
          <w:sz w:val="32"/>
          <w:szCs w:val="32"/>
        </w:rPr>
      </w:pPr>
      <w:r w:rsidRPr="007E3771">
        <w:rPr>
          <w:rFonts w:ascii="Times New Roman" w:hAnsi="Times New Roman" w:cs="Times New Roman"/>
          <w:sz w:val="32"/>
          <w:szCs w:val="32"/>
        </w:rPr>
        <w:pict w14:anchorId="39755544">
          <v:rect id="_x0000_i1028" style="width:0;height:1.5pt" o:hralign="center" o:hrstd="t" o:hr="t" fillcolor="#a0a0a0" stroked="f"/>
        </w:pict>
      </w:r>
    </w:p>
    <w:p w14:paraId="474F8E08" w14:textId="77777777" w:rsidR="007D1BE1" w:rsidRPr="007E3771" w:rsidRDefault="007D1BE1" w:rsidP="007D1BE1">
      <w:pPr>
        <w:rPr>
          <w:rFonts w:ascii="Times New Roman" w:hAnsi="Times New Roman" w:cs="Times New Roman"/>
          <w:b/>
          <w:bCs/>
          <w:sz w:val="32"/>
          <w:szCs w:val="32"/>
        </w:rPr>
      </w:pPr>
      <w:r w:rsidRPr="007E3771">
        <w:rPr>
          <w:rFonts w:ascii="Times New Roman" w:hAnsi="Times New Roman" w:cs="Times New Roman"/>
          <w:b/>
          <w:bCs/>
          <w:sz w:val="32"/>
          <w:szCs w:val="32"/>
        </w:rPr>
        <w:t>4. Notable Wine Styles</w:t>
      </w:r>
    </w:p>
    <w:p w14:paraId="5208AE35" w14:textId="77777777" w:rsidR="007D1BE1" w:rsidRPr="007E3771" w:rsidRDefault="007D1BE1" w:rsidP="007D1BE1">
      <w:pPr>
        <w:rPr>
          <w:rFonts w:ascii="Times New Roman" w:hAnsi="Times New Roman" w:cs="Times New Roman"/>
          <w:b/>
          <w:bCs/>
          <w:sz w:val="32"/>
          <w:szCs w:val="32"/>
        </w:rPr>
      </w:pPr>
      <w:r w:rsidRPr="007E3771">
        <w:rPr>
          <w:rFonts w:ascii="Times New Roman" w:hAnsi="Times New Roman" w:cs="Times New Roman"/>
          <w:b/>
          <w:bCs/>
          <w:sz w:val="32"/>
          <w:szCs w:val="32"/>
        </w:rPr>
        <w:t>Twenty Mile Bench Riesling (VQA)</w:t>
      </w:r>
    </w:p>
    <w:p w14:paraId="32101746" w14:textId="77777777" w:rsidR="007D1BE1" w:rsidRPr="007E3771" w:rsidRDefault="007D1BE1" w:rsidP="007D1BE1">
      <w:pPr>
        <w:numPr>
          <w:ilvl w:val="0"/>
          <w:numId w:val="5"/>
        </w:numPr>
        <w:rPr>
          <w:rFonts w:ascii="Times New Roman" w:hAnsi="Times New Roman" w:cs="Times New Roman"/>
          <w:sz w:val="32"/>
          <w:szCs w:val="32"/>
        </w:rPr>
      </w:pPr>
      <w:r w:rsidRPr="007E3771">
        <w:rPr>
          <w:rFonts w:ascii="Times New Roman" w:hAnsi="Times New Roman" w:cs="Times New Roman"/>
          <w:b/>
          <w:bCs/>
          <w:sz w:val="32"/>
          <w:szCs w:val="32"/>
        </w:rPr>
        <w:t>Composition</w:t>
      </w:r>
      <w:r w:rsidRPr="007E3771">
        <w:rPr>
          <w:rFonts w:ascii="Times New Roman" w:hAnsi="Times New Roman" w:cs="Times New Roman"/>
          <w:sz w:val="32"/>
          <w:szCs w:val="32"/>
        </w:rPr>
        <w:t>: 100% Riesling (primarily Clone 21B).</w:t>
      </w:r>
    </w:p>
    <w:p w14:paraId="2E59A11D" w14:textId="77777777" w:rsidR="007D1BE1" w:rsidRPr="007E3771" w:rsidRDefault="007D1BE1" w:rsidP="007D1BE1">
      <w:pPr>
        <w:numPr>
          <w:ilvl w:val="0"/>
          <w:numId w:val="5"/>
        </w:numPr>
        <w:rPr>
          <w:rFonts w:ascii="Times New Roman" w:hAnsi="Times New Roman" w:cs="Times New Roman"/>
          <w:sz w:val="32"/>
          <w:szCs w:val="32"/>
        </w:rPr>
      </w:pPr>
      <w:r w:rsidRPr="007E3771">
        <w:rPr>
          <w:rFonts w:ascii="Times New Roman" w:hAnsi="Times New Roman" w:cs="Times New Roman"/>
          <w:b/>
          <w:bCs/>
          <w:sz w:val="32"/>
          <w:szCs w:val="32"/>
        </w:rPr>
        <w:t>Production Method</w:t>
      </w:r>
      <w:r w:rsidRPr="007E3771">
        <w:rPr>
          <w:rFonts w:ascii="Times New Roman" w:hAnsi="Times New Roman" w:cs="Times New Roman"/>
          <w:sz w:val="32"/>
          <w:szCs w:val="32"/>
        </w:rPr>
        <w:t xml:space="preserve">: Hand-harvested, </w:t>
      </w:r>
      <w:proofErr w:type="gramStart"/>
      <w:r w:rsidRPr="007E3771">
        <w:rPr>
          <w:rFonts w:ascii="Times New Roman" w:hAnsi="Times New Roman" w:cs="Times New Roman"/>
          <w:sz w:val="32"/>
          <w:szCs w:val="32"/>
        </w:rPr>
        <w:t>stainless steel</w:t>
      </w:r>
      <w:proofErr w:type="gramEnd"/>
      <w:r w:rsidRPr="007E3771">
        <w:rPr>
          <w:rFonts w:ascii="Times New Roman" w:hAnsi="Times New Roman" w:cs="Times New Roman"/>
          <w:sz w:val="32"/>
          <w:szCs w:val="32"/>
        </w:rPr>
        <w:t xml:space="preserve"> fermentation, minimal intervention.</w:t>
      </w:r>
    </w:p>
    <w:p w14:paraId="3F86905B" w14:textId="77777777" w:rsidR="007D1BE1" w:rsidRPr="007E3771" w:rsidRDefault="007D1BE1" w:rsidP="007D1BE1">
      <w:pPr>
        <w:numPr>
          <w:ilvl w:val="0"/>
          <w:numId w:val="5"/>
        </w:numPr>
        <w:rPr>
          <w:rFonts w:ascii="Times New Roman" w:hAnsi="Times New Roman" w:cs="Times New Roman"/>
          <w:sz w:val="32"/>
          <w:szCs w:val="32"/>
        </w:rPr>
      </w:pPr>
      <w:r w:rsidRPr="007E3771">
        <w:rPr>
          <w:rFonts w:ascii="Times New Roman" w:hAnsi="Times New Roman" w:cs="Times New Roman"/>
          <w:b/>
          <w:bCs/>
          <w:sz w:val="32"/>
          <w:szCs w:val="32"/>
        </w:rPr>
        <w:t>Alcohol Content</w:t>
      </w:r>
      <w:r w:rsidRPr="007E3771">
        <w:rPr>
          <w:rFonts w:ascii="Times New Roman" w:hAnsi="Times New Roman" w:cs="Times New Roman"/>
          <w:sz w:val="32"/>
          <w:szCs w:val="32"/>
        </w:rPr>
        <w:t>: 11.5–13% ABV.</w:t>
      </w:r>
    </w:p>
    <w:p w14:paraId="285CBD17" w14:textId="77777777" w:rsidR="007D1BE1" w:rsidRPr="007E3771" w:rsidRDefault="007D1BE1" w:rsidP="007D1BE1">
      <w:pPr>
        <w:numPr>
          <w:ilvl w:val="0"/>
          <w:numId w:val="5"/>
        </w:numPr>
        <w:rPr>
          <w:rFonts w:ascii="Times New Roman" w:hAnsi="Times New Roman" w:cs="Times New Roman"/>
          <w:sz w:val="32"/>
          <w:szCs w:val="32"/>
        </w:rPr>
      </w:pPr>
      <w:r w:rsidRPr="007E3771">
        <w:rPr>
          <w:rFonts w:ascii="Times New Roman" w:hAnsi="Times New Roman" w:cs="Times New Roman"/>
          <w:b/>
          <w:bCs/>
          <w:sz w:val="32"/>
          <w:szCs w:val="32"/>
        </w:rPr>
        <w:t>Organoleptic Profile</w:t>
      </w:r>
      <w:r w:rsidRPr="007E3771">
        <w:rPr>
          <w:rFonts w:ascii="Times New Roman" w:hAnsi="Times New Roman" w:cs="Times New Roman"/>
          <w:sz w:val="32"/>
          <w:szCs w:val="32"/>
        </w:rPr>
        <w:t>: Lime zest, green apple, crushed gravel, and a racy acidic backbone.</w:t>
      </w:r>
    </w:p>
    <w:p w14:paraId="08CEE085" w14:textId="77777777" w:rsidR="007D1BE1" w:rsidRPr="007E3771" w:rsidRDefault="007D1BE1" w:rsidP="007D1BE1">
      <w:pPr>
        <w:numPr>
          <w:ilvl w:val="0"/>
          <w:numId w:val="5"/>
        </w:numPr>
        <w:rPr>
          <w:rFonts w:ascii="Times New Roman" w:hAnsi="Times New Roman" w:cs="Times New Roman"/>
          <w:sz w:val="32"/>
          <w:szCs w:val="32"/>
        </w:rPr>
      </w:pPr>
      <w:r w:rsidRPr="007E3771">
        <w:rPr>
          <w:rFonts w:ascii="Times New Roman" w:hAnsi="Times New Roman" w:cs="Times New Roman"/>
          <w:b/>
          <w:bCs/>
          <w:sz w:val="32"/>
          <w:szCs w:val="32"/>
        </w:rPr>
        <w:t>Market Position</w:t>
      </w:r>
      <w:r w:rsidRPr="007E3771">
        <w:rPr>
          <w:rFonts w:ascii="Times New Roman" w:hAnsi="Times New Roman" w:cs="Times New Roman"/>
          <w:sz w:val="32"/>
          <w:szCs w:val="32"/>
        </w:rPr>
        <w:t>: Compared to Germany’s Mosel but with more pronounced minerality and dryness.</w:t>
      </w:r>
    </w:p>
    <w:p w14:paraId="0387F489" w14:textId="77777777" w:rsidR="007D1BE1" w:rsidRPr="007E3771" w:rsidRDefault="007D1BE1" w:rsidP="007D1BE1">
      <w:pPr>
        <w:rPr>
          <w:rFonts w:ascii="Times New Roman" w:hAnsi="Times New Roman" w:cs="Times New Roman"/>
          <w:b/>
          <w:bCs/>
          <w:sz w:val="32"/>
          <w:szCs w:val="32"/>
        </w:rPr>
      </w:pPr>
      <w:proofErr w:type="spellStart"/>
      <w:r w:rsidRPr="007E3771">
        <w:rPr>
          <w:rFonts w:ascii="Times New Roman" w:hAnsi="Times New Roman" w:cs="Times New Roman"/>
          <w:b/>
          <w:bCs/>
          <w:sz w:val="32"/>
          <w:szCs w:val="32"/>
        </w:rPr>
        <w:t>Beamsville</w:t>
      </w:r>
      <w:proofErr w:type="spellEnd"/>
      <w:r w:rsidRPr="007E3771">
        <w:rPr>
          <w:rFonts w:ascii="Times New Roman" w:hAnsi="Times New Roman" w:cs="Times New Roman"/>
          <w:b/>
          <w:bCs/>
          <w:sz w:val="32"/>
          <w:szCs w:val="32"/>
        </w:rPr>
        <w:t xml:space="preserve"> Bench Chardonnay (VQA)</w:t>
      </w:r>
    </w:p>
    <w:p w14:paraId="11BCD150" w14:textId="77777777" w:rsidR="007D1BE1" w:rsidRPr="007E3771" w:rsidRDefault="007D1BE1" w:rsidP="007D1BE1">
      <w:pPr>
        <w:numPr>
          <w:ilvl w:val="0"/>
          <w:numId w:val="6"/>
        </w:numPr>
        <w:rPr>
          <w:rFonts w:ascii="Times New Roman" w:hAnsi="Times New Roman" w:cs="Times New Roman"/>
          <w:sz w:val="32"/>
          <w:szCs w:val="32"/>
        </w:rPr>
      </w:pPr>
      <w:r w:rsidRPr="007E3771">
        <w:rPr>
          <w:rFonts w:ascii="Times New Roman" w:hAnsi="Times New Roman" w:cs="Times New Roman"/>
          <w:b/>
          <w:bCs/>
          <w:sz w:val="32"/>
          <w:szCs w:val="32"/>
        </w:rPr>
        <w:t>Composition</w:t>
      </w:r>
      <w:r w:rsidRPr="007E3771">
        <w:rPr>
          <w:rFonts w:ascii="Times New Roman" w:hAnsi="Times New Roman" w:cs="Times New Roman"/>
          <w:sz w:val="32"/>
          <w:szCs w:val="32"/>
        </w:rPr>
        <w:t>: 100% Chardonnay (Dijon clones 76 and 95).</w:t>
      </w:r>
    </w:p>
    <w:p w14:paraId="13B69D9E" w14:textId="77777777" w:rsidR="007D1BE1" w:rsidRPr="007E3771" w:rsidRDefault="007D1BE1" w:rsidP="007D1BE1">
      <w:pPr>
        <w:numPr>
          <w:ilvl w:val="0"/>
          <w:numId w:val="6"/>
        </w:numPr>
        <w:rPr>
          <w:rFonts w:ascii="Times New Roman" w:hAnsi="Times New Roman" w:cs="Times New Roman"/>
          <w:sz w:val="32"/>
          <w:szCs w:val="32"/>
        </w:rPr>
      </w:pPr>
      <w:r w:rsidRPr="007E3771">
        <w:rPr>
          <w:rFonts w:ascii="Times New Roman" w:hAnsi="Times New Roman" w:cs="Times New Roman"/>
          <w:b/>
          <w:bCs/>
          <w:sz w:val="32"/>
          <w:szCs w:val="32"/>
        </w:rPr>
        <w:t>Production Method</w:t>
      </w:r>
      <w:r w:rsidRPr="007E3771">
        <w:rPr>
          <w:rFonts w:ascii="Times New Roman" w:hAnsi="Times New Roman" w:cs="Times New Roman"/>
          <w:sz w:val="32"/>
          <w:szCs w:val="32"/>
        </w:rPr>
        <w:t>: Native yeast fermentation, partial malolactic conversion, aged 8–12 months in neutral oak.</w:t>
      </w:r>
    </w:p>
    <w:p w14:paraId="5FC968AC" w14:textId="77777777" w:rsidR="007D1BE1" w:rsidRPr="007E3771" w:rsidRDefault="007D1BE1" w:rsidP="007D1BE1">
      <w:pPr>
        <w:numPr>
          <w:ilvl w:val="0"/>
          <w:numId w:val="6"/>
        </w:numPr>
        <w:rPr>
          <w:rFonts w:ascii="Times New Roman" w:hAnsi="Times New Roman" w:cs="Times New Roman"/>
          <w:sz w:val="32"/>
          <w:szCs w:val="32"/>
        </w:rPr>
      </w:pPr>
      <w:r w:rsidRPr="007E3771">
        <w:rPr>
          <w:rFonts w:ascii="Times New Roman" w:hAnsi="Times New Roman" w:cs="Times New Roman"/>
          <w:b/>
          <w:bCs/>
          <w:sz w:val="32"/>
          <w:szCs w:val="32"/>
        </w:rPr>
        <w:t>Organoleptic Profile</w:t>
      </w:r>
      <w:r w:rsidRPr="007E3771">
        <w:rPr>
          <w:rFonts w:ascii="Times New Roman" w:hAnsi="Times New Roman" w:cs="Times New Roman"/>
          <w:sz w:val="32"/>
          <w:szCs w:val="32"/>
        </w:rPr>
        <w:t>: Lemon curd, flint, and toasted hazelnut, with a creamy yet crisp finish.</w:t>
      </w:r>
    </w:p>
    <w:p w14:paraId="4CC18A1E" w14:textId="77777777" w:rsidR="007D1BE1" w:rsidRPr="007E3771" w:rsidRDefault="007D1BE1" w:rsidP="007D1BE1">
      <w:pPr>
        <w:numPr>
          <w:ilvl w:val="0"/>
          <w:numId w:val="6"/>
        </w:numPr>
        <w:rPr>
          <w:rFonts w:ascii="Times New Roman" w:hAnsi="Times New Roman" w:cs="Times New Roman"/>
          <w:sz w:val="32"/>
          <w:szCs w:val="32"/>
        </w:rPr>
      </w:pPr>
      <w:r w:rsidRPr="007E3771">
        <w:rPr>
          <w:rFonts w:ascii="Times New Roman" w:hAnsi="Times New Roman" w:cs="Times New Roman"/>
          <w:b/>
          <w:bCs/>
          <w:sz w:val="32"/>
          <w:szCs w:val="32"/>
        </w:rPr>
        <w:t>Sub-categories</w:t>
      </w:r>
      <w:r w:rsidRPr="007E3771">
        <w:rPr>
          <w:rFonts w:ascii="Times New Roman" w:hAnsi="Times New Roman" w:cs="Times New Roman"/>
          <w:sz w:val="32"/>
          <w:szCs w:val="32"/>
        </w:rPr>
        <w:t>: “Single Vineyard” and “Reserve” bottlings emphasize limestone terroir.</w:t>
      </w:r>
    </w:p>
    <w:p w14:paraId="37DC6F80" w14:textId="77777777" w:rsidR="007D1BE1" w:rsidRPr="007E3771" w:rsidRDefault="00000000" w:rsidP="007D1BE1">
      <w:pPr>
        <w:rPr>
          <w:rFonts w:ascii="Times New Roman" w:hAnsi="Times New Roman" w:cs="Times New Roman"/>
          <w:sz w:val="32"/>
          <w:szCs w:val="32"/>
        </w:rPr>
      </w:pPr>
      <w:r w:rsidRPr="007E3771">
        <w:rPr>
          <w:rFonts w:ascii="Times New Roman" w:hAnsi="Times New Roman" w:cs="Times New Roman"/>
          <w:sz w:val="32"/>
          <w:szCs w:val="32"/>
        </w:rPr>
        <w:pict w14:anchorId="6554E612">
          <v:rect id="_x0000_i1029" style="width:0;height:1.5pt" o:hralign="center" o:hrstd="t" o:hr="t" fillcolor="#a0a0a0" stroked="f"/>
        </w:pict>
      </w:r>
    </w:p>
    <w:p w14:paraId="1EAE49BC" w14:textId="77777777" w:rsidR="007D1BE1" w:rsidRPr="007E3771" w:rsidRDefault="007D1BE1" w:rsidP="007D1BE1">
      <w:pPr>
        <w:rPr>
          <w:rFonts w:ascii="Times New Roman" w:hAnsi="Times New Roman" w:cs="Times New Roman"/>
          <w:b/>
          <w:bCs/>
          <w:sz w:val="32"/>
          <w:szCs w:val="32"/>
        </w:rPr>
      </w:pPr>
      <w:r w:rsidRPr="007E3771">
        <w:rPr>
          <w:rFonts w:ascii="Times New Roman" w:hAnsi="Times New Roman" w:cs="Times New Roman"/>
          <w:b/>
          <w:bCs/>
          <w:sz w:val="32"/>
          <w:szCs w:val="32"/>
        </w:rPr>
        <w:lastRenderedPageBreak/>
        <w:t>5. Additional Context</w:t>
      </w:r>
    </w:p>
    <w:p w14:paraId="1F4F68AC"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Recent Developments</w:t>
      </w:r>
      <w:r w:rsidRPr="007E3771">
        <w:rPr>
          <w:rFonts w:ascii="Times New Roman" w:hAnsi="Times New Roman" w:cs="Times New Roman"/>
          <w:sz w:val="32"/>
          <w:szCs w:val="32"/>
        </w:rPr>
        <w:t>:</w:t>
      </w:r>
    </w:p>
    <w:p w14:paraId="446F4AE0" w14:textId="77777777" w:rsidR="007D1BE1" w:rsidRPr="007E3771" w:rsidRDefault="007D1BE1" w:rsidP="007D1BE1">
      <w:pPr>
        <w:numPr>
          <w:ilvl w:val="0"/>
          <w:numId w:val="7"/>
        </w:numPr>
        <w:rPr>
          <w:rFonts w:ascii="Times New Roman" w:hAnsi="Times New Roman" w:cs="Times New Roman"/>
          <w:sz w:val="32"/>
          <w:szCs w:val="32"/>
        </w:rPr>
      </w:pPr>
      <w:r w:rsidRPr="007E3771">
        <w:rPr>
          <w:rFonts w:ascii="Times New Roman" w:hAnsi="Times New Roman" w:cs="Times New Roman"/>
          <w:b/>
          <w:bCs/>
          <w:sz w:val="32"/>
          <w:szCs w:val="32"/>
        </w:rPr>
        <w:t>Sustainability</w:t>
      </w:r>
      <w:r w:rsidRPr="007E3771">
        <w:rPr>
          <w:rFonts w:ascii="Times New Roman" w:hAnsi="Times New Roman" w:cs="Times New Roman"/>
          <w:sz w:val="32"/>
          <w:szCs w:val="32"/>
        </w:rPr>
        <w:t>: Over 40% of vineyards are certified organic or sustainable (e.g., Tawse Winery’s biodynamic practices). Solar energy and permaculture integration are rising.</w:t>
      </w:r>
    </w:p>
    <w:p w14:paraId="7C985CA5" w14:textId="77777777" w:rsidR="007D1BE1" w:rsidRPr="007E3771" w:rsidRDefault="007D1BE1" w:rsidP="007D1BE1">
      <w:pPr>
        <w:numPr>
          <w:ilvl w:val="0"/>
          <w:numId w:val="7"/>
        </w:numPr>
        <w:rPr>
          <w:rFonts w:ascii="Times New Roman" w:hAnsi="Times New Roman" w:cs="Times New Roman"/>
          <w:sz w:val="32"/>
          <w:szCs w:val="32"/>
        </w:rPr>
      </w:pPr>
      <w:r w:rsidRPr="007E3771">
        <w:rPr>
          <w:rFonts w:ascii="Times New Roman" w:hAnsi="Times New Roman" w:cs="Times New Roman"/>
          <w:b/>
          <w:bCs/>
          <w:sz w:val="32"/>
          <w:szCs w:val="32"/>
        </w:rPr>
        <w:t>Climate Adaptation</w:t>
      </w:r>
      <w:r w:rsidRPr="007E3771">
        <w:rPr>
          <w:rFonts w:ascii="Times New Roman" w:hAnsi="Times New Roman" w:cs="Times New Roman"/>
          <w:sz w:val="32"/>
          <w:szCs w:val="32"/>
        </w:rPr>
        <w:t>: Wind machines for frost protection and drought-resistant rootstocks (e.g., 3309C for Riesling).</w:t>
      </w:r>
    </w:p>
    <w:p w14:paraId="7C272E02"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Historical Context</w:t>
      </w:r>
      <w:r w:rsidRPr="007E3771">
        <w:rPr>
          <w:rFonts w:ascii="Times New Roman" w:hAnsi="Times New Roman" w:cs="Times New Roman"/>
          <w:sz w:val="32"/>
          <w:szCs w:val="32"/>
        </w:rPr>
        <w:t>:</w:t>
      </w:r>
      <w:r w:rsidRPr="007E3771">
        <w:rPr>
          <w:rFonts w:ascii="Times New Roman" w:hAnsi="Times New Roman" w:cs="Times New Roman"/>
          <w:sz w:val="32"/>
          <w:szCs w:val="32"/>
        </w:rPr>
        <w:br/>
        <w:t xml:space="preserve">The modern era began in the 1980s when pioneers like </w:t>
      </w:r>
      <w:proofErr w:type="spellStart"/>
      <w:r w:rsidRPr="007E3771">
        <w:rPr>
          <w:rFonts w:ascii="Times New Roman" w:hAnsi="Times New Roman" w:cs="Times New Roman"/>
          <w:sz w:val="32"/>
          <w:szCs w:val="32"/>
        </w:rPr>
        <w:t>Inniskillin</w:t>
      </w:r>
      <w:proofErr w:type="spellEnd"/>
      <w:r w:rsidRPr="007E3771">
        <w:rPr>
          <w:rFonts w:ascii="Times New Roman" w:hAnsi="Times New Roman" w:cs="Times New Roman"/>
          <w:sz w:val="32"/>
          <w:szCs w:val="32"/>
        </w:rPr>
        <w:t xml:space="preserve"> and Cave Spring Vineyard shifted focus from hybrids to vinifera. The 2005 VQA sub-appellation system cemented the Escarpment’s identity as a premium wine zone.</w:t>
      </w:r>
    </w:p>
    <w:p w14:paraId="061CFD8A"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Food Pairings</w:t>
      </w:r>
      <w:r w:rsidRPr="007E3771">
        <w:rPr>
          <w:rFonts w:ascii="Times New Roman" w:hAnsi="Times New Roman" w:cs="Times New Roman"/>
          <w:sz w:val="32"/>
          <w:szCs w:val="32"/>
        </w:rPr>
        <w:t>:</w:t>
      </w:r>
    </w:p>
    <w:p w14:paraId="21373F85" w14:textId="77777777" w:rsidR="007D1BE1" w:rsidRPr="007E3771" w:rsidRDefault="007D1BE1" w:rsidP="007D1BE1">
      <w:pPr>
        <w:numPr>
          <w:ilvl w:val="0"/>
          <w:numId w:val="8"/>
        </w:numPr>
        <w:rPr>
          <w:rFonts w:ascii="Times New Roman" w:hAnsi="Times New Roman" w:cs="Times New Roman"/>
          <w:sz w:val="32"/>
          <w:szCs w:val="32"/>
        </w:rPr>
      </w:pPr>
      <w:r w:rsidRPr="007E3771">
        <w:rPr>
          <w:rFonts w:ascii="Times New Roman" w:hAnsi="Times New Roman" w:cs="Times New Roman"/>
          <w:sz w:val="32"/>
          <w:szCs w:val="32"/>
        </w:rPr>
        <w:t>Twenty Mile Bench Riesling with freshwater fish tacos or Vietnamese pho.</w:t>
      </w:r>
    </w:p>
    <w:p w14:paraId="5F8CA77B" w14:textId="77777777" w:rsidR="007D1BE1" w:rsidRPr="007E3771" w:rsidRDefault="007D1BE1" w:rsidP="007D1BE1">
      <w:pPr>
        <w:numPr>
          <w:ilvl w:val="0"/>
          <w:numId w:val="8"/>
        </w:numPr>
        <w:rPr>
          <w:rFonts w:ascii="Times New Roman" w:hAnsi="Times New Roman" w:cs="Times New Roman"/>
          <w:sz w:val="32"/>
          <w:szCs w:val="32"/>
        </w:rPr>
      </w:pPr>
      <w:proofErr w:type="spellStart"/>
      <w:r w:rsidRPr="007E3771">
        <w:rPr>
          <w:rFonts w:ascii="Times New Roman" w:hAnsi="Times New Roman" w:cs="Times New Roman"/>
          <w:sz w:val="32"/>
          <w:szCs w:val="32"/>
        </w:rPr>
        <w:t>Beamsville</w:t>
      </w:r>
      <w:proofErr w:type="spellEnd"/>
      <w:r w:rsidRPr="007E3771">
        <w:rPr>
          <w:rFonts w:ascii="Times New Roman" w:hAnsi="Times New Roman" w:cs="Times New Roman"/>
          <w:sz w:val="32"/>
          <w:szCs w:val="32"/>
        </w:rPr>
        <w:t xml:space="preserve"> Bench Chardonnay with roast chicken or Gruyère cheese.</w:t>
      </w:r>
    </w:p>
    <w:p w14:paraId="3202158B" w14:textId="77777777" w:rsidR="007D1BE1" w:rsidRPr="007E3771" w:rsidRDefault="007D1BE1" w:rsidP="007D1BE1">
      <w:pPr>
        <w:numPr>
          <w:ilvl w:val="0"/>
          <w:numId w:val="8"/>
        </w:numPr>
        <w:rPr>
          <w:rFonts w:ascii="Times New Roman" w:hAnsi="Times New Roman" w:cs="Times New Roman"/>
          <w:sz w:val="32"/>
          <w:szCs w:val="32"/>
        </w:rPr>
      </w:pPr>
      <w:r w:rsidRPr="007E3771">
        <w:rPr>
          <w:rFonts w:ascii="Times New Roman" w:hAnsi="Times New Roman" w:cs="Times New Roman"/>
          <w:sz w:val="32"/>
          <w:szCs w:val="32"/>
        </w:rPr>
        <w:t>Short Hills Bench Pinot Noir with duck breast or wild mushroom risotto.</w:t>
      </w:r>
    </w:p>
    <w:p w14:paraId="150132A4"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Key Producers</w:t>
      </w:r>
      <w:r w:rsidRPr="007E3771">
        <w:rPr>
          <w:rFonts w:ascii="Times New Roman" w:hAnsi="Times New Roman" w:cs="Times New Roman"/>
          <w:sz w:val="32"/>
          <w:szCs w:val="32"/>
        </w:rPr>
        <w:t>:</w:t>
      </w:r>
      <w:r w:rsidRPr="007E3771">
        <w:rPr>
          <w:rFonts w:ascii="Times New Roman" w:hAnsi="Times New Roman" w:cs="Times New Roman"/>
          <w:sz w:val="32"/>
          <w:szCs w:val="32"/>
        </w:rPr>
        <w:br/>
        <w:t>Tawse Winery (organic/biodynamic leader), Flat Rock Cellars (Riesling specialists), Thirty Bench Wine Makers (small-lot focus), and Hidden Bench (terroir-driven Chardonnay).</w:t>
      </w:r>
    </w:p>
    <w:p w14:paraId="6A007972"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Takeaway for Sommeliers</w:t>
      </w:r>
      <w:r w:rsidRPr="007E3771">
        <w:rPr>
          <w:rFonts w:ascii="Times New Roman" w:hAnsi="Times New Roman" w:cs="Times New Roman"/>
          <w:sz w:val="32"/>
          <w:szCs w:val="32"/>
        </w:rPr>
        <w:t>:</w:t>
      </w:r>
      <w:r w:rsidRPr="007E3771">
        <w:rPr>
          <w:rFonts w:ascii="Times New Roman" w:hAnsi="Times New Roman" w:cs="Times New Roman"/>
          <w:sz w:val="32"/>
          <w:szCs w:val="32"/>
        </w:rPr>
        <w:br/>
        <w:t>The Escarpment’s sub-appellations offer nuanced expressions of cool-</w:t>
      </w:r>
      <w:r w:rsidRPr="007E3771">
        <w:rPr>
          <w:rFonts w:ascii="Times New Roman" w:hAnsi="Times New Roman" w:cs="Times New Roman"/>
          <w:sz w:val="32"/>
          <w:szCs w:val="32"/>
        </w:rPr>
        <w:lastRenderedPageBreak/>
        <w:t>climate classics. Highlight its limestone minerality and sustainability ethos. Position Riesling as a versatile pairing for global cuisines.</w:t>
      </w:r>
    </w:p>
    <w:p w14:paraId="2F3FE946"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Final Thoughts</w:t>
      </w:r>
      <w:r w:rsidRPr="007E3771">
        <w:rPr>
          <w:rFonts w:ascii="Times New Roman" w:hAnsi="Times New Roman" w:cs="Times New Roman"/>
          <w:sz w:val="32"/>
          <w:szCs w:val="32"/>
        </w:rPr>
        <w:t>:</w:t>
      </w:r>
      <w:r w:rsidRPr="007E3771">
        <w:rPr>
          <w:rFonts w:ascii="Times New Roman" w:hAnsi="Times New Roman" w:cs="Times New Roman"/>
          <w:sz w:val="32"/>
          <w:szCs w:val="32"/>
        </w:rPr>
        <w:br/>
        <w:t xml:space="preserve">A geological marvel and viticultural treasure, the Niagara Escarpment crafts wines that echo ancient </w:t>
      </w:r>
      <w:proofErr w:type="spellStart"/>
      <w:r w:rsidRPr="007E3771">
        <w:rPr>
          <w:rFonts w:ascii="Times New Roman" w:hAnsi="Times New Roman" w:cs="Times New Roman"/>
          <w:sz w:val="32"/>
          <w:szCs w:val="32"/>
        </w:rPr>
        <w:t>seabeds</w:t>
      </w:r>
      <w:proofErr w:type="spellEnd"/>
      <w:r w:rsidRPr="007E3771">
        <w:rPr>
          <w:rFonts w:ascii="Times New Roman" w:hAnsi="Times New Roman" w:cs="Times New Roman"/>
          <w:sz w:val="32"/>
          <w:szCs w:val="32"/>
        </w:rPr>
        <w:t xml:space="preserve"> and glacial shifts, standing as a testament to Ontario’s rising prominence in the wine world.</w:t>
      </w:r>
    </w:p>
    <w:p w14:paraId="41E4FA9F" w14:textId="77777777" w:rsidR="007D1BE1" w:rsidRPr="007E3771" w:rsidRDefault="00000000" w:rsidP="007D1BE1">
      <w:pPr>
        <w:rPr>
          <w:rFonts w:ascii="Times New Roman" w:hAnsi="Times New Roman" w:cs="Times New Roman"/>
          <w:sz w:val="32"/>
          <w:szCs w:val="32"/>
        </w:rPr>
      </w:pPr>
      <w:r w:rsidRPr="007E3771">
        <w:rPr>
          <w:rFonts w:ascii="Times New Roman" w:hAnsi="Times New Roman" w:cs="Times New Roman"/>
          <w:sz w:val="32"/>
          <w:szCs w:val="32"/>
        </w:rPr>
        <w:pict w14:anchorId="050B2E9D">
          <v:rect id="_x0000_i1030" style="width:0;height:1.5pt" o:hralign="center" o:hrstd="t" o:hr="t" fillcolor="#a0a0a0" stroked="f"/>
        </w:pict>
      </w:r>
    </w:p>
    <w:p w14:paraId="086F7796" w14:textId="77777777" w:rsidR="007D1BE1" w:rsidRPr="007E3771" w:rsidRDefault="007D1BE1" w:rsidP="007D1BE1">
      <w:pPr>
        <w:rPr>
          <w:rFonts w:ascii="Times New Roman" w:hAnsi="Times New Roman" w:cs="Times New Roman"/>
          <w:sz w:val="32"/>
          <w:szCs w:val="32"/>
        </w:rPr>
      </w:pPr>
      <w:r w:rsidRPr="007E3771">
        <w:rPr>
          <w:rFonts w:ascii="Times New Roman" w:hAnsi="Times New Roman" w:cs="Times New Roman"/>
          <w:b/>
          <w:bCs/>
          <w:sz w:val="32"/>
          <w:szCs w:val="32"/>
        </w:rPr>
        <w:t>Citations</w:t>
      </w:r>
      <w:r w:rsidRPr="007E3771">
        <w:rPr>
          <w:rFonts w:ascii="Times New Roman" w:hAnsi="Times New Roman" w:cs="Times New Roman"/>
          <w:sz w:val="32"/>
          <w:szCs w:val="32"/>
        </w:rPr>
        <w:t>:</w:t>
      </w:r>
    </w:p>
    <w:p w14:paraId="374B7675" w14:textId="77777777" w:rsidR="007D1BE1" w:rsidRPr="007E3771" w:rsidRDefault="007D1BE1" w:rsidP="007D1BE1">
      <w:pPr>
        <w:numPr>
          <w:ilvl w:val="0"/>
          <w:numId w:val="9"/>
        </w:numPr>
        <w:rPr>
          <w:rFonts w:ascii="Times New Roman" w:hAnsi="Times New Roman" w:cs="Times New Roman"/>
          <w:sz w:val="32"/>
          <w:szCs w:val="32"/>
        </w:rPr>
      </w:pPr>
      <w:r w:rsidRPr="007E3771">
        <w:rPr>
          <w:rFonts w:ascii="Times New Roman" w:hAnsi="Times New Roman" w:cs="Times New Roman"/>
          <w:sz w:val="32"/>
          <w:szCs w:val="32"/>
        </w:rPr>
        <w:t xml:space="preserve">Wine Country Ontario. </w:t>
      </w:r>
      <w:r w:rsidRPr="007E3771">
        <w:rPr>
          <w:rFonts w:ascii="Times New Roman" w:hAnsi="Times New Roman" w:cs="Times New Roman"/>
          <w:i/>
          <w:iCs/>
          <w:sz w:val="32"/>
          <w:szCs w:val="32"/>
        </w:rPr>
        <w:t>Niagara Escarpment Terroir Report</w:t>
      </w:r>
      <w:r w:rsidRPr="007E3771">
        <w:rPr>
          <w:rFonts w:ascii="Times New Roman" w:hAnsi="Times New Roman" w:cs="Times New Roman"/>
          <w:sz w:val="32"/>
          <w:szCs w:val="32"/>
        </w:rPr>
        <w:t>. 2023.</w:t>
      </w:r>
    </w:p>
    <w:p w14:paraId="650C2C7C" w14:textId="77777777" w:rsidR="007D1BE1" w:rsidRPr="007E3771" w:rsidRDefault="007D1BE1" w:rsidP="007D1BE1">
      <w:pPr>
        <w:numPr>
          <w:ilvl w:val="0"/>
          <w:numId w:val="9"/>
        </w:numPr>
        <w:rPr>
          <w:rFonts w:ascii="Times New Roman" w:hAnsi="Times New Roman" w:cs="Times New Roman"/>
          <w:sz w:val="32"/>
          <w:szCs w:val="32"/>
        </w:rPr>
      </w:pPr>
      <w:proofErr w:type="spellStart"/>
      <w:r w:rsidRPr="007E3771">
        <w:rPr>
          <w:rFonts w:ascii="Times New Roman" w:hAnsi="Times New Roman" w:cs="Times New Roman"/>
          <w:sz w:val="32"/>
          <w:szCs w:val="32"/>
        </w:rPr>
        <w:t>Beppi</w:t>
      </w:r>
      <w:proofErr w:type="spellEnd"/>
      <w:r w:rsidRPr="007E3771">
        <w:rPr>
          <w:rFonts w:ascii="Times New Roman" w:hAnsi="Times New Roman" w:cs="Times New Roman"/>
          <w:sz w:val="32"/>
          <w:szCs w:val="32"/>
        </w:rPr>
        <w:t xml:space="preserve"> </w:t>
      </w:r>
      <w:proofErr w:type="spellStart"/>
      <w:r w:rsidRPr="007E3771">
        <w:rPr>
          <w:rFonts w:ascii="Times New Roman" w:hAnsi="Times New Roman" w:cs="Times New Roman"/>
          <w:sz w:val="32"/>
          <w:szCs w:val="32"/>
        </w:rPr>
        <w:t>Crosariol</w:t>
      </w:r>
      <w:proofErr w:type="spellEnd"/>
      <w:r w:rsidRPr="007E3771">
        <w:rPr>
          <w:rFonts w:ascii="Times New Roman" w:hAnsi="Times New Roman" w:cs="Times New Roman"/>
          <w:sz w:val="32"/>
          <w:szCs w:val="32"/>
        </w:rPr>
        <w:t xml:space="preserve">, </w:t>
      </w:r>
      <w:r w:rsidRPr="007E3771">
        <w:rPr>
          <w:rFonts w:ascii="Times New Roman" w:hAnsi="Times New Roman" w:cs="Times New Roman"/>
          <w:i/>
          <w:iCs/>
          <w:sz w:val="32"/>
          <w:szCs w:val="32"/>
        </w:rPr>
        <w:t>How to Drink Canadian</w:t>
      </w:r>
      <w:r w:rsidRPr="007E3771">
        <w:rPr>
          <w:rFonts w:ascii="Times New Roman" w:hAnsi="Times New Roman" w:cs="Times New Roman"/>
          <w:sz w:val="32"/>
          <w:szCs w:val="32"/>
        </w:rPr>
        <w:t>. 2022.</w:t>
      </w:r>
    </w:p>
    <w:p w14:paraId="1F1383EA" w14:textId="77777777" w:rsidR="007D1BE1" w:rsidRPr="007E3771" w:rsidRDefault="007D1BE1" w:rsidP="007D1BE1">
      <w:pPr>
        <w:numPr>
          <w:ilvl w:val="0"/>
          <w:numId w:val="9"/>
        </w:numPr>
        <w:rPr>
          <w:rFonts w:ascii="Times New Roman" w:hAnsi="Times New Roman" w:cs="Times New Roman"/>
          <w:sz w:val="32"/>
          <w:szCs w:val="32"/>
        </w:rPr>
      </w:pPr>
      <w:r w:rsidRPr="007E3771">
        <w:rPr>
          <w:rFonts w:ascii="Times New Roman" w:hAnsi="Times New Roman" w:cs="Times New Roman"/>
          <w:sz w:val="32"/>
          <w:szCs w:val="32"/>
        </w:rPr>
        <w:t xml:space="preserve">“Limestone and Legacy: Ontario’s Escarpment Wines.” </w:t>
      </w:r>
      <w:r w:rsidRPr="007E3771">
        <w:rPr>
          <w:rFonts w:ascii="Times New Roman" w:hAnsi="Times New Roman" w:cs="Times New Roman"/>
          <w:i/>
          <w:iCs/>
          <w:sz w:val="32"/>
          <w:szCs w:val="32"/>
        </w:rPr>
        <w:t>Decanter</w:t>
      </w:r>
      <w:r w:rsidRPr="007E3771">
        <w:rPr>
          <w:rFonts w:ascii="Times New Roman" w:hAnsi="Times New Roman" w:cs="Times New Roman"/>
          <w:sz w:val="32"/>
          <w:szCs w:val="32"/>
        </w:rPr>
        <w:t>, 2021.</w:t>
      </w:r>
    </w:p>
    <w:p w14:paraId="19A45F9A" w14:textId="77777777" w:rsidR="007D1BE1" w:rsidRPr="007E3771" w:rsidRDefault="007D1BE1">
      <w:pPr>
        <w:rPr>
          <w:rFonts w:ascii="Times New Roman" w:hAnsi="Times New Roman" w:cs="Times New Roman"/>
          <w:sz w:val="32"/>
          <w:szCs w:val="32"/>
        </w:rPr>
      </w:pPr>
    </w:p>
    <w:sectPr w:rsidR="007D1BE1" w:rsidRPr="007E3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0A"/>
    <w:multiLevelType w:val="multilevel"/>
    <w:tmpl w:val="E1A4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57C2"/>
    <w:multiLevelType w:val="multilevel"/>
    <w:tmpl w:val="D06A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F077F"/>
    <w:multiLevelType w:val="multilevel"/>
    <w:tmpl w:val="6458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22F03"/>
    <w:multiLevelType w:val="multilevel"/>
    <w:tmpl w:val="878CA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40DD5"/>
    <w:multiLevelType w:val="multilevel"/>
    <w:tmpl w:val="C06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B6028"/>
    <w:multiLevelType w:val="multilevel"/>
    <w:tmpl w:val="5CE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B549D"/>
    <w:multiLevelType w:val="multilevel"/>
    <w:tmpl w:val="90DE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B19BE"/>
    <w:multiLevelType w:val="multilevel"/>
    <w:tmpl w:val="73D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B4A78"/>
    <w:multiLevelType w:val="multilevel"/>
    <w:tmpl w:val="4DD0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868949">
    <w:abstractNumId w:val="6"/>
  </w:num>
  <w:num w:numId="2" w16cid:durableId="450438990">
    <w:abstractNumId w:val="5"/>
  </w:num>
  <w:num w:numId="3" w16cid:durableId="1323465312">
    <w:abstractNumId w:val="1"/>
  </w:num>
  <w:num w:numId="4" w16cid:durableId="334958995">
    <w:abstractNumId w:val="3"/>
  </w:num>
  <w:num w:numId="5" w16cid:durableId="450170883">
    <w:abstractNumId w:val="8"/>
  </w:num>
  <w:num w:numId="6" w16cid:durableId="1986008526">
    <w:abstractNumId w:val="0"/>
  </w:num>
  <w:num w:numId="7" w16cid:durableId="1396705326">
    <w:abstractNumId w:val="4"/>
  </w:num>
  <w:num w:numId="8" w16cid:durableId="1920552748">
    <w:abstractNumId w:val="7"/>
  </w:num>
  <w:num w:numId="9" w16cid:durableId="577404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E1"/>
    <w:rsid w:val="007D1BE1"/>
    <w:rsid w:val="007E3771"/>
    <w:rsid w:val="007F1395"/>
    <w:rsid w:val="00A9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A04F"/>
  <w15:chartTrackingRefBased/>
  <w15:docId w15:val="{3D23D46F-2619-4F1D-B6AB-50353911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B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B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B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B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B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B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B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B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B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B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BE1"/>
    <w:rPr>
      <w:rFonts w:eastAsiaTheme="majorEastAsia" w:cstheme="majorBidi"/>
      <w:color w:val="272727" w:themeColor="text1" w:themeTint="D8"/>
    </w:rPr>
  </w:style>
  <w:style w:type="paragraph" w:styleId="Title">
    <w:name w:val="Title"/>
    <w:basedOn w:val="Normal"/>
    <w:next w:val="Normal"/>
    <w:link w:val="TitleChar"/>
    <w:uiPriority w:val="10"/>
    <w:qFormat/>
    <w:rsid w:val="007D1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BE1"/>
    <w:pPr>
      <w:spacing w:before="160"/>
      <w:jc w:val="center"/>
    </w:pPr>
    <w:rPr>
      <w:i/>
      <w:iCs/>
      <w:color w:val="404040" w:themeColor="text1" w:themeTint="BF"/>
    </w:rPr>
  </w:style>
  <w:style w:type="character" w:customStyle="1" w:styleId="QuoteChar">
    <w:name w:val="Quote Char"/>
    <w:basedOn w:val="DefaultParagraphFont"/>
    <w:link w:val="Quote"/>
    <w:uiPriority w:val="29"/>
    <w:rsid w:val="007D1BE1"/>
    <w:rPr>
      <w:i/>
      <w:iCs/>
      <w:color w:val="404040" w:themeColor="text1" w:themeTint="BF"/>
    </w:rPr>
  </w:style>
  <w:style w:type="paragraph" w:styleId="ListParagraph">
    <w:name w:val="List Paragraph"/>
    <w:basedOn w:val="Normal"/>
    <w:uiPriority w:val="34"/>
    <w:qFormat/>
    <w:rsid w:val="007D1BE1"/>
    <w:pPr>
      <w:ind w:left="720"/>
      <w:contextualSpacing/>
    </w:pPr>
  </w:style>
  <w:style w:type="character" w:styleId="IntenseEmphasis">
    <w:name w:val="Intense Emphasis"/>
    <w:basedOn w:val="DefaultParagraphFont"/>
    <w:uiPriority w:val="21"/>
    <w:qFormat/>
    <w:rsid w:val="007D1BE1"/>
    <w:rPr>
      <w:i/>
      <w:iCs/>
      <w:color w:val="2F5496" w:themeColor="accent1" w:themeShade="BF"/>
    </w:rPr>
  </w:style>
  <w:style w:type="paragraph" w:styleId="IntenseQuote">
    <w:name w:val="Intense Quote"/>
    <w:basedOn w:val="Normal"/>
    <w:next w:val="Normal"/>
    <w:link w:val="IntenseQuoteChar"/>
    <w:uiPriority w:val="30"/>
    <w:qFormat/>
    <w:rsid w:val="007D1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BE1"/>
    <w:rPr>
      <w:i/>
      <w:iCs/>
      <w:color w:val="2F5496" w:themeColor="accent1" w:themeShade="BF"/>
    </w:rPr>
  </w:style>
  <w:style w:type="character" w:styleId="IntenseReference">
    <w:name w:val="Intense Reference"/>
    <w:basedOn w:val="DefaultParagraphFont"/>
    <w:uiPriority w:val="32"/>
    <w:qFormat/>
    <w:rsid w:val="007D1B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95702">
      <w:bodyDiv w:val="1"/>
      <w:marLeft w:val="0"/>
      <w:marRight w:val="0"/>
      <w:marTop w:val="0"/>
      <w:marBottom w:val="0"/>
      <w:divBdr>
        <w:top w:val="none" w:sz="0" w:space="0" w:color="auto"/>
        <w:left w:val="none" w:sz="0" w:space="0" w:color="auto"/>
        <w:bottom w:val="none" w:sz="0" w:space="0" w:color="auto"/>
        <w:right w:val="none" w:sz="0" w:space="0" w:color="auto"/>
      </w:divBdr>
      <w:divsChild>
        <w:div w:id="1416972061">
          <w:marLeft w:val="0"/>
          <w:marRight w:val="0"/>
          <w:marTop w:val="0"/>
          <w:marBottom w:val="0"/>
          <w:divBdr>
            <w:top w:val="none" w:sz="0" w:space="0" w:color="auto"/>
            <w:left w:val="none" w:sz="0" w:space="0" w:color="auto"/>
            <w:bottom w:val="none" w:sz="0" w:space="0" w:color="auto"/>
            <w:right w:val="none" w:sz="0" w:space="0" w:color="auto"/>
          </w:divBdr>
        </w:div>
      </w:divsChild>
    </w:div>
    <w:div w:id="999431679">
      <w:bodyDiv w:val="1"/>
      <w:marLeft w:val="0"/>
      <w:marRight w:val="0"/>
      <w:marTop w:val="0"/>
      <w:marBottom w:val="0"/>
      <w:divBdr>
        <w:top w:val="none" w:sz="0" w:space="0" w:color="auto"/>
        <w:left w:val="none" w:sz="0" w:space="0" w:color="auto"/>
        <w:bottom w:val="none" w:sz="0" w:space="0" w:color="auto"/>
        <w:right w:val="none" w:sz="0" w:space="0" w:color="auto"/>
      </w:divBdr>
      <w:divsChild>
        <w:div w:id="473455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2025-03-06T00:22:00Z</dcterms:created>
  <dcterms:modified xsi:type="dcterms:W3CDTF">2025-03-06T22:16:00Z</dcterms:modified>
</cp:coreProperties>
</file>