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FCF4" w14:textId="77777777" w:rsidR="00707F0E" w:rsidRPr="00334808" w:rsidRDefault="00707F0E" w:rsidP="00707F0E">
      <w:pPr>
        <w:rPr>
          <w:rFonts w:asciiTheme="majorBidi" w:hAnsiTheme="majorBidi" w:cstheme="majorBidi"/>
          <w:b/>
          <w:bCs/>
          <w:sz w:val="32"/>
          <w:szCs w:val="32"/>
        </w:rPr>
      </w:pPr>
      <w:r w:rsidRPr="00334808">
        <w:rPr>
          <w:rFonts w:asciiTheme="majorBidi" w:hAnsiTheme="majorBidi" w:cstheme="majorBidi"/>
          <w:b/>
          <w:bCs/>
          <w:sz w:val="32"/>
          <w:szCs w:val="32"/>
        </w:rPr>
        <w:t>New World Wine Regions: Innovation, Exploration, and a New Vision of Terroir</w:t>
      </w:r>
    </w:p>
    <w:p w14:paraId="1A5CF4C2" w14:textId="77777777" w:rsidR="00707F0E" w:rsidRPr="00334808" w:rsidRDefault="00707F0E" w:rsidP="00707F0E">
      <w:pPr>
        <w:rPr>
          <w:rFonts w:asciiTheme="majorBidi" w:hAnsiTheme="majorBidi" w:cstheme="majorBidi"/>
          <w:sz w:val="32"/>
          <w:szCs w:val="32"/>
        </w:rPr>
      </w:pPr>
      <w:r w:rsidRPr="00334808">
        <w:rPr>
          <w:rFonts w:asciiTheme="majorBidi" w:hAnsiTheme="majorBidi" w:cstheme="majorBidi"/>
          <w:sz w:val="32"/>
          <w:szCs w:val="32"/>
        </w:rPr>
        <w:t>If Old World wine is about tradition, the New World is about reinvention. The countries outside Europe that have embraced winemaking—places like the United States, Argentina, Australia, and South Africa—have taken the foundation laid by centuries-old European viticulture and made it their own. Free from the rigid classifications and historical constraints of the Old World, these regions have fostered a spirit of experimentation, innovation, and bold expression.</w:t>
      </w:r>
    </w:p>
    <w:p w14:paraId="7B268154" w14:textId="77777777" w:rsidR="00707F0E" w:rsidRPr="00334808" w:rsidRDefault="00707F0E" w:rsidP="00707F0E">
      <w:pPr>
        <w:rPr>
          <w:rFonts w:asciiTheme="majorBidi" w:hAnsiTheme="majorBidi" w:cstheme="majorBidi"/>
          <w:sz w:val="32"/>
          <w:szCs w:val="32"/>
        </w:rPr>
      </w:pPr>
      <w:r w:rsidRPr="00334808">
        <w:rPr>
          <w:rFonts w:asciiTheme="majorBidi" w:hAnsiTheme="majorBidi" w:cstheme="majorBidi"/>
          <w:sz w:val="32"/>
          <w:szCs w:val="32"/>
        </w:rPr>
        <w:t>New World wines are often more fruit-forward, made with modern techniques that emphasize purity, precision, and consistency. While terroir still plays an important role, many New World winemakers take a more hands-on approach, using technology and scientific advancements to shape their wines. This has led to a dynamic and ever-evolving industry where tradition is respected but not worshipped.</w:t>
      </w:r>
    </w:p>
    <w:p w14:paraId="0F3C5EF7" w14:textId="77777777" w:rsidR="00707F0E" w:rsidRPr="00334808" w:rsidRDefault="00707F0E" w:rsidP="00707F0E">
      <w:pPr>
        <w:rPr>
          <w:rFonts w:asciiTheme="majorBidi" w:hAnsiTheme="majorBidi" w:cstheme="majorBidi"/>
          <w:sz w:val="32"/>
          <w:szCs w:val="32"/>
        </w:rPr>
      </w:pPr>
      <w:r w:rsidRPr="00334808">
        <w:rPr>
          <w:rFonts w:asciiTheme="majorBidi" w:hAnsiTheme="majorBidi" w:cstheme="majorBidi"/>
          <w:sz w:val="32"/>
          <w:szCs w:val="32"/>
        </w:rPr>
        <w:t>Another defining trait of New World wine regions is their adaptability. Unlike the Old World, where vineyards have often been planted in the same locations for centuries, New World winemakers have the freedom to explore and cultivate new terroirs. High-altitude plantings in Argentina, cool-climate sites in New Zealand, and ocean-influenced vineyards in California and South Africa all showcase how these regions are continuously pushing boundaries.</w:t>
      </w:r>
    </w:p>
    <w:p w14:paraId="1A13EF7E" w14:textId="77777777" w:rsidR="00707F0E" w:rsidRPr="00334808" w:rsidRDefault="00707F0E" w:rsidP="00707F0E">
      <w:pPr>
        <w:rPr>
          <w:rFonts w:asciiTheme="majorBidi" w:hAnsiTheme="majorBidi" w:cstheme="majorBidi"/>
          <w:sz w:val="32"/>
          <w:szCs w:val="32"/>
        </w:rPr>
      </w:pPr>
      <w:r w:rsidRPr="00334808">
        <w:rPr>
          <w:rFonts w:asciiTheme="majorBidi" w:hAnsiTheme="majorBidi" w:cstheme="majorBidi"/>
          <w:sz w:val="32"/>
          <w:szCs w:val="32"/>
        </w:rPr>
        <w:t>This section will explore the major New World wine regions, focusing on their defining characteristics, key grape varieties, and how they have made their mark on the global wine stage.</w:t>
      </w:r>
    </w:p>
    <w:p w14:paraId="09D76C60" w14:textId="77777777" w:rsidR="00707F0E" w:rsidRPr="00334808" w:rsidRDefault="00707F0E" w:rsidP="00707F0E">
      <w:pPr>
        <w:rPr>
          <w:rFonts w:asciiTheme="majorBidi" w:hAnsiTheme="majorBidi" w:cstheme="majorBidi"/>
          <w:sz w:val="32"/>
          <w:szCs w:val="32"/>
        </w:rPr>
      </w:pPr>
      <w:r w:rsidRPr="00334808">
        <w:rPr>
          <w:rFonts w:asciiTheme="majorBidi" w:hAnsiTheme="majorBidi" w:cstheme="majorBidi"/>
          <w:sz w:val="32"/>
          <w:szCs w:val="32"/>
        </w:rPr>
        <w:t>The New World regions covered in the following chapters include:</w:t>
      </w:r>
    </w:p>
    <w:p w14:paraId="286549D0" w14:textId="77777777" w:rsidR="00707F0E" w:rsidRPr="00334808" w:rsidRDefault="00707F0E" w:rsidP="00707F0E">
      <w:pPr>
        <w:numPr>
          <w:ilvl w:val="0"/>
          <w:numId w:val="1"/>
        </w:numPr>
        <w:rPr>
          <w:rFonts w:asciiTheme="majorBidi" w:hAnsiTheme="majorBidi" w:cstheme="majorBidi"/>
          <w:sz w:val="32"/>
          <w:szCs w:val="32"/>
        </w:rPr>
      </w:pPr>
      <w:r w:rsidRPr="00334808">
        <w:rPr>
          <w:rFonts w:asciiTheme="majorBidi" w:hAnsiTheme="majorBidi" w:cstheme="majorBidi"/>
          <w:b/>
          <w:bCs/>
          <w:sz w:val="32"/>
          <w:szCs w:val="32"/>
        </w:rPr>
        <w:lastRenderedPageBreak/>
        <w:t>United States</w:t>
      </w:r>
      <w:r w:rsidRPr="00334808">
        <w:rPr>
          <w:rFonts w:asciiTheme="majorBidi" w:hAnsiTheme="majorBidi" w:cstheme="majorBidi"/>
          <w:sz w:val="32"/>
          <w:szCs w:val="32"/>
        </w:rPr>
        <w:t xml:space="preserve"> – Home to some of the world’s most prestigious wines, from Napa Valley Cabernet Sauvignon to Willamette Valley Pinot Noir.</w:t>
      </w:r>
    </w:p>
    <w:p w14:paraId="50CD671C" w14:textId="77777777" w:rsidR="00707F0E" w:rsidRPr="00334808" w:rsidRDefault="00707F0E" w:rsidP="00707F0E">
      <w:pPr>
        <w:numPr>
          <w:ilvl w:val="1"/>
          <w:numId w:val="1"/>
        </w:numPr>
        <w:rPr>
          <w:rFonts w:asciiTheme="majorBidi" w:hAnsiTheme="majorBidi" w:cstheme="majorBidi"/>
          <w:sz w:val="32"/>
          <w:szCs w:val="32"/>
        </w:rPr>
      </w:pPr>
      <w:r w:rsidRPr="00334808">
        <w:rPr>
          <w:rFonts w:asciiTheme="majorBidi" w:hAnsiTheme="majorBidi" w:cstheme="majorBidi"/>
          <w:b/>
          <w:bCs/>
          <w:sz w:val="32"/>
          <w:szCs w:val="32"/>
        </w:rPr>
        <w:t>Napa Valley</w:t>
      </w:r>
      <w:r w:rsidRPr="00334808">
        <w:rPr>
          <w:rFonts w:asciiTheme="majorBidi" w:hAnsiTheme="majorBidi" w:cstheme="majorBidi"/>
          <w:sz w:val="32"/>
          <w:szCs w:val="32"/>
        </w:rPr>
        <w:t xml:space="preserve"> – The global icon for bold, structured Cabernet Sauvignon and polished Bordeaux-style blends.</w:t>
      </w:r>
    </w:p>
    <w:p w14:paraId="72F98000" w14:textId="77777777" w:rsidR="00707F0E" w:rsidRPr="00334808" w:rsidRDefault="00707F0E" w:rsidP="00707F0E">
      <w:pPr>
        <w:numPr>
          <w:ilvl w:val="1"/>
          <w:numId w:val="1"/>
        </w:numPr>
        <w:rPr>
          <w:rFonts w:asciiTheme="majorBidi" w:hAnsiTheme="majorBidi" w:cstheme="majorBidi"/>
          <w:sz w:val="32"/>
          <w:szCs w:val="32"/>
        </w:rPr>
      </w:pPr>
      <w:r w:rsidRPr="00334808">
        <w:rPr>
          <w:rFonts w:asciiTheme="majorBidi" w:hAnsiTheme="majorBidi" w:cstheme="majorBidi"/>
          <w:b/>
          <w:bCs/>
          <w:sz w:val="32"/>
          <w:szCs w:val="32"/>
        </w:rPr>
        <w:t>Sonoma County</w:t>
      </w:r>
      <w:r w:rsidRPr="00334808">
        <w:rPr>
          <w:rFonts w:asciiTheme="majorBidi" w:hAnsiTheme="majorBidi" w:cstheme="majorBidi"/>
          <w:sz w:val="32"/>
          <w:szCs w:val="32"/>
        </w:rPr>
        <w:t xml:space="preserve"> – A diverse region producing everything from Russian River Valley Pinot Noir to Alexander Valley Cabernet Sauvignon.</w:t>
      </w:r>
    </w:p>
    <w:p w14:paraId="68B0703E" w14:textId="77777777" w:rsidR="00707F0E" w:rsidRPr="00334808" w:rsidRDefault="00707F0E" w:rsidP="00707F0E">
      <w:pPr>
        <w:numPr>
          <w:ilvl w:val="1"/>
          <w:numId w:val="1"/>
        </w:numPr>
        <w:rPr>
          <w:rFonts w:asciiTheme="majorBidi" w:hAnsiTheme="majorBidi" w:cstheme="majorBidi"/>
          <w:sz w:val="32"/>
          <w:szCs w:val="32"/>
        </w:rPr>
      </w:pPr>
      <w:r w:rsidRPr="00334808">
        <w:rPr>
          <w:rFonts w:asciiTheme="majorBidi" w:hAnsiTheme="majorBidi" w:cstheme="majorBidi"/>
          <w:b/>
          <w:bCs/>
          <w:sz w:val="32"/>
          <w:szCs w:val="32"/>
        </w:rPr>
        <w:t>Washington State (Columbia Valley)</w:t>
      </w:r>
      <w:r w:rsidRPr="00334808">
        <w:rPr>
          <w:rFonts w:asciiTheme="majorBidi" w:hAnsiTheme="majorBidi" w:cstheme="majorBidi"/>
          <w:sz w:val="32"/>
          <w:szCs w:val="32"/>
        </w:rPr>
        <w:t xml:space="preserve"> – A rising powerhouse for elegant, structured Cabernet Sauvignon, Merlot, and Syrah, thriving in the arid landscapes of eastern Washington.</w:t>
      </w:r>
    </w:p>
    <w:p w14:paraId="53CED842" w14:textId="77777777" w:rsidR="00707F0E" w:rsidRPr="00334808" w:rsidRDefault="00707F0E" w:rsidP="00707F0E">
      <w:pPr>
        <w:numPr>
          <w:ilvl w:val="1"/>
          <w:numId w:val="1"/>
        </w:numPr>
        <w:rPr>
          <w:rFonts w:asciiTheme="majorBidi" w:hAnsiTheme="majorBidi" w:cstheme="majorBidi"/>
          <w:sz w:val="32"/>
          <w:szCs w:val="32"/>
        </w:rPr>
      </w:pPr>
      <w:r w:rsidRPr="00334808">
        <w:rPr>
          <w:rFonts w:asciiTheme="majorBidi" w:hAnsiTheme="majorBidi" w:cstheme="majorBidi"/>
          <w:b/>
          <w:bCs/>
          <w:sz w:val="32"/>
          <w:szCs w:val="32"/>
        </w:rPr>
        <w:t>Oregon (Willamette Valley)</w:t>
      </w:r>
      <w:r w:rsidRPr="00334808">
        <w:rPr>
          <w:rFonts w:asciiTheme="majorBidi" w:hAnsiTheme="majorBidi" w:cstheme="majorBidi"/>
          <w:sz w:val="32"/>
          <w:szCs w:val="32"/>
        </w:rPr>
        <w:t xml:space="preserve"> – Renowned for world-class Pinot Noir, influenced by its cool, maritime climate.</w:t>
      </w:r>
    </w:p>
    <w:p w14:paraId="414B3EBB" w14:textId="77777777" w:rsidR="00707F0E" w:rsidRPr="00334808" w:rsidRDefault="00707F0E" w:rsidP="00707F0E">
      <w:pPr>
        <w:numPr>
          <w:ilvl w:val="0"/>
          <w:numId w:val="1"/>
        </w:numPr>
        <w:rPr>
          <w:rFonts w:asciiTheme="majorBidi" w:hAnsiTheme="majorBidi" w:cstheme="majorBidi"/>
          <w:sz w:val="32"/>
          <w:szCs w:val="32"/>
        </w:rPr>
      </w:pPr>
      <w:r w:rsidRPr="00334808">
        <w:rPr>
          <w:rFonts w:asciiTheme="majorBidi" w:hAnsiTheme="majorBidi" w:cstheme="majorBidi"/>
          <w:b/>
          <w:bCs/>
          <w:sz w:val="32"/>
          <w:szCs w:val="32"/>
        </w:rPr>
        <w:t>Australia</w:t>
      </w:r>
      <w:r w:rsidRPr="00334808">
        <w:rPr>
          <w:rFonts w:asciiTheme="majorBidi" w:hAnsiTheme="majorBidi" w:cstheme="majorBidi"/>
          <w:sz w:val="32"/>
          <w:szCs w:val="32"/>
        </w:rPr>
        <w:t xml:space="preserve"> – A diverse winemaking nation producing everything from bold Barossa Shiraz to crisp Margaret River Chardonnay.</w:t>
      </w:r>
    </w:p>
    <w:p w14:paraId="7EB27534" w14:textId="77777777" w:rsidR="00707F0E" w:rsidRPr="00334808" w:rsidRDefault="00707F0E" w:rsidP="00707F0E">
      <w:pPr>
        <w:numPr>
          <w:ilvl w:val="0"/>
          <w:numId w:val="1"/>
        </w:numPr>
        <w:rPr>
          <w:rFonts w:asciiTheme="majorBidi" w:hAnsiTheme="majorBidi" w:cstheme="majorBidi"/>
          <w:sz w:val="32"/>
          <w:szCs w:val="32"/>
        </w:rPr>
      </w:pPr>
      <w:r w:rsidRPr="00334808">
        <w:rPr>
          <w:rFonts w:asciiTheme="majorBidi" w:hAnsiTheme="majorBidi" w:cstheme="majorBidi"/>
          <w:b/>
          <w:bCs/>
          <w:sz w:val="32"/>
          <w:szCs w:val="32"/>
        </w:rPr>
        <w:t>New Zealand</w:t>
      </w:r>
      <w:r w:rsidRPr="00334808">
        <w:rPr>
          <w:rFonts w:asciiTheme="majorBidi" w:hAnsiTheme="majorBidi" w:cstheme="majorBidi"/>
          <w:sz w:val="32"/>
          <w:szCs w:val="32"/>
        </w:rPr>
        <w:t xml:space="preserve"> – A modern success story, known for vibrant Sauvignon Blanc from Marlborough and elegant Pinot Noir from Central Otago.</w:t>
      </w:r>
    </w:p>
    <w:p w14:paraId="1F4753F6" w14:textId="77777777" w:rsidR="00707F0E" w:rsidRPr="00334808" w:rsidRDefault="00707F0E" w:rsidP="00707F0E">
      <w:pPr>
        <w:numPr>
          <w:ilvl w:val="0"/>
          <w:numId w:val="1"/>
        </w:numPr>
        <w:rPr>
          <w:rFonts w:asciiTheme="majorBidi" w:hAnsiTheme="majorBidi" w:cstheme="majorBidi"/>
          <w:sz w:val="32"/>
          <w:szCs w:val="32"/>
        </w:rPr>
      </w:pPr>
      <w:r w:rsidRPr="00334808">
        <w:rPr>
          <w:rFonts w:asciiTheme="majorBidi" w:hAnsiTheme="majorBidi" w:cstheme="majorBidi"/>
          <w:b/>
          <w:bCs/>
          <w:sz w:val="32"/>
          <w:szCs w:val="32"/>
        </w:rPr>
        <w:t>Argentina</w:t>
      </w:r>
      <w:r w:rsidRPr="00334808">
        <w:rPr>
          <w:rFonts w:asciiTheme="majorBidi" w:hAnsiTheme="majorBidi" w:cstheme="majorBidi"/>
          <w:sz w:val="32"/>
          <w:szCs w:val="32"/>
        </w:rPr>
        <w:t xml:space="preserve"> – The global capital of Malbec, where high-altitude vineyards produce structured, expressive reds.</w:t>
      </w:r>
    </w:p>
    <w:p w14:paraId="0E6CD8D1" w14:textId="77777777" w:rsidR="00707F0E" w:rsidRPr="00334808" w:rsidRDefault="00707F0E" w:rsidP="00707F0E">
      <w:pPr>
        <w:numPr>
          <w:ilvl w:val="0"/>
          <w:numId w:val="1"/>
        </w:numPr>
        <w:rPr>
          <w:rFonts w:asciiTheme="majorBidi" w:hAnsiTheme="majorBidi" w:cstheme="majorBidi"/>
          <w:sz w:val="32"/>
          <w:szCs w:val="32"/>
        </w:rPr>
      </w:pPr>
      <w:r w:rsidRPr="00334808">
        <w:rPr>
          <w:rFonts w:asciiTheme="majorBidi" w:hAnsiTheme="majorBidi" w:cstheme="majorBidi"/>
          <w:b/>
          <w:bCs/>
          <w:sz w:val="32"/>
          <w:szCs w:val="32"/>
        </w:rPr>
        <w:t>Chile</w:t>
      </w:r>
      <w:r w:rsidRPr="00334808">
        <w:rPr>
          <w:rFonts w:asciiTheme="majorBidi" w:hAnsiTheme="majorBidi" w:cstheme="majorBidi"/>
          <w:sz w:val="32"/>
          <w:szCs w:val="32"/>
        </w:rPr>
        <w:t xml:space="preserve"> – A winemaking powerhouse offering everything from Bordeaux-style blends to coastal cool-climate whites.</w:t>
      </w:r>
    </w:p>
    <w:p w14:paraId="00C6723E" w14:textId="77777777" w:rsidR="00707F0E" w:rsidRPr="00334808" w:rsidRDefault="00707F0E" w:rsidP="00707F0E">
      <w:pPr>
        <w:numPr>
          <w:ilvl w:val="0"/>
          <w:numId w:val="1"/>
        </w:numPr>
        <w:rPr>
          <w:rFonts w:asciiTheme="majorBidi" w:hAnsiTheme="majorBidi" w:cstheme="majorBidi"/>
          <w:sz w:val="32"/>
          <w:szCs w:val="32"/>
        </w:rPr>
      </w:pPr>
      <w:r w:rsidRPr="00334808">
        <w:rPr>
          <w:rFonts w:asciiTheme="majorBidi" w:hAnsiTheme="majorBidi" w:cstheme="majorBidi"/>
          <w:b/>
          <w:bCs/>
          <w:sz w:val="32"/>
          <w:szCs w:val="32"/>
        </w:rPr>
        <w:t>South Africa</w:t>
      </w:r>
      <w:r w:rsidRPr="00334808">
        <w:rPr>
          <w:rFonts w:asciiTheme="majorBidi" w:hAnsiTheme="majorBidi" w:cstheme="majorBidi"/>
          <w:sz w:val="32"/>
          <w:szCs w:val="32"/>
        </w:rPr>
        <w:t xml:space="preserve"> – A country blending Old World elegance with New World boldness, famous for Stellenbosch Cabernet and unique grapes like Pinotage.</w:t>
      </w:r>
    </w:p>
    <w:p w14:paraId="58195D5C" w14:textId="77777777" w:rsidR="00707F0E" w:rsidRPr="00334808" w:rsidRDefault="00000000" w:rsidP="00707F0E">
      <w:pPr>
        <w:rPr>
          <w:rFonts w:asciiTheme="majorBidi" w:hAnsiTheme="majorBidi" w:cstheme="majorBidi"/>
          <w:sz w:val="32"/>
          <w:szCs w:val="32"/>
        </w:rPr>
      </w:pPr>
      <w:r w:rsidRPr="00334808">
        <w:rPr>
          <w:rFonts w:asciiTheme="majorBidi" w:hAnsiTheme="majorBidi" w:cstheme="majorBidi"/>
          <w:sz w:val="32"/>
          <w:szCs w:val="32"/>
        </w:rPr>
        <w:lastRenderedPageBreak/>
        <w:pict w14:anchorId="15B1940A">
          <v:rect id="_x0000_i1025" style="width:0;height:1.5pt" o:hralign="center" o:hrstd="t" o:hr="t" fillcolor="#a0a0a0" stroked="f"/>
        </w:pict>
      </w:r>
    </w:p>
    <w:p w14:paraId="601F6C09" w14:textId="77777777" w:rsidR="00707F0E" w:rsidRPr="00334808" w:rsidRDefault="00707F0E" w:rsidP="00707F0E">
      <w:pPr>
        <w:rPr>
          <w:rFonts w:asciiTheme="majorBidi" w:hAnsiTheme="majorBidi" w:cstheme="majorBidi"/>
          <w:b/>
          <w:bCs/>
          <w:sz w:val="32"/>
          <w:szCs w:val="32"/>
        </w:rPr>
      </w:pPr>
      <w:r w:rsidRPr="00334808">
        <w:rPr>
          <w:rFonts w:asciiTheme="majorBidi" w:hAnsiTheme="majorBidi" w:cstheme="majorBidi"/>
          <w:b/>
          <w:bCs/>
          <w:sz w:val="32"/>
          <w:szCs w:val="32"/>
        </w:rPr>
        <w:t>Emerging and Lesser-Known New World Wine Regions:</w:t>
      </w:r>
    </w:p>
    <w:p w14:paraId="308083DD" w14:textId="77777777" w:rsidR="00707F0E" w:rsidRPr="00334808" w:rsidRDefault="00707F0E" w:rsidP="00707F0E">
      <w:pPr>
        <w:numPr>
          <w:ilvl w:val="0"/>
          <w:numId w:val="2"/>
        </w:numPr>
        <w:rPr>
          <w:rFonts w:asciiTheme="majorBidi" w:hAnsiTheme="majorBidi" w:cstheme="majorBidi"/>
          <w:sz w:val="32"/>
          <w:szCs w:val="32"/>
        </w:rPr>
      </w:pPr>
      <w:r w:rsidRPr="00334808">
        <w:rPr>
          <w:rFonts w:asciiTheme="majorBidi" w:hAnsiTheme="majorBidi" w:cstheme="majorBidi"/>
          <w:b/>
          <w:bCs/>
          <w:sz w:val="32"/>
          <w:szCs w:val="32"/>
        </w:rPr>
        <w:t>Canada</w:t>
      </w:r>
      <w:r w:rsidRPr="00334808">
        <w:rPr>
          <w:rFonts w:asciiTheme="majorBidi" w:hAnsiTheme="majorBidi" w:cstheme="majorBidi"/>
          <w:sz w:val="32"/>
          <w:szCs w:val="32"/>
        </w:rPr>
        <w:t xml:space="preserve"> – A rising star in cool-climate winemaking, producing world-class ice wine and structured reds in regions like the Okanagan Valley.</w:t>
      </w:r>
    </w:p>
    <w:p w14:paraId="4D4F9305" w14:textId="77777777" w:rsidR="00707F0E" w:rsidRPr="00334808" w:rsidRDefault="00707F0E" w:rsidP="00707F0E">
      <w:pPr>
        <w:numPr>
          <w:ilvl w:val="0"/>
          <w:numId w:val="2"/>
        </w:numPr>
        <w:rPr>
          <w:rFonts w:asciiTheme="majorBidi" w:hAnsiTheme="majorBidi" w:cstheme="majorBidi"/>
          <w:sz w:val="32"/>
          <w:szCs w:val="32"/>
        </w:rPr>
      </w:pPr>
      <w:r w:rsidRPr="00334808">
        <w:rPr>
          <w:rFonts w:asciiTheme="majorBidi" w:hAnsiTheme="majorBidi" w:cstheme="majorBidi"/>
          <w:b/>
          <w:bCs/>
          <w:sz w:val="32"/>
          <w:szCs w:val="32"/>
        </w:rPr>
        <w:t>Uruguay</w:t>
      </w:r>
      <w:r w:rsidRPr="00334808">
        <w:rPr>
          <w:rFonts w:asciiTheme="majorBidi" w:hAnsiTheme="majorBidi" w:cstheme="majorBidi"/>
          <w:sz w:val="32"/>
          <w:szCs w:val="32"/>
        </w:rPr>
        <w:t xml:space="preserve"> – The hidden gem of South American wine, known for its robust </w:t>
      </w:r>
      <w:proofErr w:type="spellStart"/>
      <w:r w:rsidRPr="00334808">
        <w:rPr>
          <w:rFonts w:asciiTheme="majorBidi" w:hAnsiTheme="majorBidi" w:cstheme="majorBidi"/>
          <w:sz w:val="32"/>
          <w:szCs w:val="32"/>
        </w:rPr>
        <w:t>Tannat</w:t>
      </w:r>
      <w:proofErr w:type="spellEnd"/>
      <w:r w:rsidRPr="00334808">
        <w:rPr>
          <w:rFonts w:asciiTheme="majorBidi" w:hAnsiTheme="majorBidi" w:cstheme="majorBidi"/>
          <w:sz w:val="32"/>
          <w:szCs w:val="32"/>
        </w:rPr>
        <w:t xml:space="preserve"> wines.</w:t>
      </w:r>
    </w:p>
    <w:p w14:paraId="00C80993" w14:textId="77777777" w:rsidR="00707F0E" w:rsidRPr="00334808" w:rsidRDefault="00707F0E" w:rsidP="00707F0E">
      <w:pPr>
        <w:numPr>
          <w:ilvl w:val="0"/>
          <w:numId w:val="2"/>
        </w:numPr>
        <w:rPr>
          <w:rFonts w:asciiTheme="majorBidi" w:hAnsiTheme="majorBidi" w:cstheme="majorBidi"/>
          <w:sz w:val="32"/>
          <w:szCs w:val="32"/>
        </w:rPr>
      </w:pPr>
      <w:r w:rsidRPr="00334808">
        <w:rPr>
          <w:rFonts w:asciiTheme="majorBidi" w:hAnsiTheme="majorBidi" w:cstheme="majorBidi"/>
          <w:b/>
          <w:bCs/>
          <w:sz w:val="32"/>
          <w:szCs w:val="32"/>
        </w:rPr>
        <w:t>Mexico</w:t>
      </w:r>
      <w:r w:rsidRPr="00334808">
        <w:rPr>
          <w:rFonts w:asciiTheme="majorBidi" w:hAnsiTheme="majorBidi" w:cstheme="majorBidi"/>
          <w:sz w:val="32"/>
          <w:szCs w:val="32"/>
        </w:rPr>
        <w:t xml:space="preserve"> – A historic but often overlooked producer, where Baja California is crafting expressive reds and refreshing whites.</w:t>
      </w:r>
    </w:p>
    <w:p w14:paraId="15240F51" w14:textId="77777777" w:rsidR="00707F0E" w:rsidRPr="00334808" w:rsidRDefault="00707F0E" w:rsidP="00707F0E">
      <w:pPr>
        <w:numPr>
          <w:ilvl w:val="0"/>
          <w:numId w:val="2"/>
        </w:numPr>
        <w:rPr>
          <w:rFonts w:asciiTheme="majorBidi" w:hAnsiTheme="majorBidi" w:cstheme="majorBidi"/>
          <w:sz w:val="32"/>
          <w:szCs w:val="32"/>
        </w:rPr>
      </w:pPr>
      <w:r w:rsidRPr="00334808">
        <w:rPr>
          <w:rFonts w:asciiTheme="majorBidi" w:hAnsiTheme="majorBidi" w:cstheme="majorBidi"/>
          <w:b/>
          <w:bCs/>
          <w:sz w:val="32"/>
          <w:szCs w:val="32"/>
        </w:rPr>
        <w:t>Brazil</w:t>
      </w:r>
      <w:r w:rsidRPr="00334808">
        <w:rPr>
          <w:rFonts w:asciiTheme="majorBidi" w:hAnsiTheme="majorBidi" w:cstheme="majorBidi"/>
          <w:sz w:val="32"/>
          <w:szCs w:val="32"/>
        </w:rPr>
        <w:t xml:space="preserve"> – An up-and-coming wine country, producing high-quality sparkling wines alongside tropical-influenced reds and whites.</w:t>
      </w:r>
    </w:p>
    <w:p w14:paraId="236C51C6" w14:textId="77777777" w:rsidR="00707F0E" w:rsidRPr="00334808" w:rsidRDefault="00707F0E" w:rsidP="00707F0E">
      <w:pPr>
        <w:numPr>
          <w:ilvl w:val="0"/>
          <w:numId w:val="2"/>
        </w:numPr>
        <w:rPr>
          <w:rFonts w:asciiTheme="majorBidi" w:hAnsiTheme="majorBidi" w:cstheme="majorBidi"/>
          <w:sz w:val="32"/>
          <w:szCs w:val="32"/>
        </w:rPr>
      </w:pPr>
      <w:r w:rsidRPr="00334808">
        <w:rPr>
          <w:rFonts w:asciiTheme="majorBidi" w:hAnsiTheme="majorBidi" w:cstheme="majorBidi"/>
          <w:b/>
          <w:bCs/>
          <w:sz w:val="32"/>
          <w:szCs w:val="32"/>
        </w:rPr>
        <w:t>China</w:t>
      </w:r>
      <w:r w:rsidRPr="00334808">
        <w:rPr>
          <w:rFonts w:asciiTheme="majorBidi" w:hAnsiTheme="majorBidi" w:cstheme="majorBidi"/>
          <w:sz w:val="32"/>
          <w:szCs w:val="32"/>
        </w:rPr>
        <w:t xml:space="preserve"> – A country investing heavily in fine wine, with regions like Ningxia showing serious potential for Bordeaux-style reds.</w:t>
      </w:r>
    </w:p>
    <w:p w14:paraId="0D89D284" w14:textId="77777777" w:rsidR="00707F0E" w:rsidRPr="00334808" w:rsidRDefault="00707F0E" w:rsidP="00707F0E">
      <w:pPr>
        <w:numPr>
          <w:ilvl w:val="0"/>
          <w:numId w:val="2"/>
        </w:numPr>
        <w:rPr>
          <w:rFonts w:asciiTheme="majorBidi" w:hAnsiTheme="majorBidi" w:cstheme="majorBidi"/>
          <w:sz w:val="32"/>
          <w:szCs w:val="32"/>
        </w:rPr>
      </w:pPr>
      <w:r w:rsidRPr="00334808">
        <w:rPr>
          <w:rFonts w:asciiTheme="majorBidi" w:hAnsiTheme="majorBidi" w:cstheme="majorBidi"/>
          <w:b/>
          <w:bCs/>
          <w:sz w:val="32"/>
          <w:szCs w:val="32"/>
        </w:rPr>
        <w:t>Israel</w:t>
      </w:r>
      <w:r w:rsidRPr="00334808">
        <w:rPr>
          <w:rFonts w:asciiTheme="majorBidi" w:hAnsiTheme="majorBidi" w:cstheme="majorBidi"/>
          <w:sz w:val="32"/>
          <w:szCs w:val="32"/>
        </w:rPr>
        <w:t xml:space="preserve"> – A winemaking region with ancient roots and modern ambitions, producing exceptional wines from Mediterranean and Bordeaux varietals.</w:t>
      </w:r>
    </w:p>
    <w:p w14:paraId="7B5DC8E9" w14:textId="77777777" w:rsidR="00707F0E" w:rsidRPr="00334808" w:rsidRDefault="00707F0E" w:rsidP="00707F0E">
      <w:pPr>
        <w:rPr>
          <w:rFonts w:asciiTheme="majorBidi" w:hAnsiTheme="majorBidi" w:cstheme="majorBidi"/>
          <w:sz w:val="32"/>
          <w:szCs w:val="32"/>
        </w:rPr>
      </w:pPr>
      <w:r w:rsidRPr="00334808">
        <w:rPr>
          <w:rFonts w:asciiTheme="majorBidi" w:hAnsiTheme="majorBidi" w:cstheme="majorBidi"/>
          <w:sz w:val="32"/>
          <w:szCs w:val="32"/>
        </w:rPr>
        <w:t>New World wine is not just about breaking free from tradition—it’s about shaping a new vision for what wine can be. The regions explored in this section have redefined winemaking by combining terroir, science, and creativity, proving that great wines can come from anywhere.</w:t>
      </w:r>
    </w:p>
    <w:p w14:paraId="57F1889E" w14:textId="77777777" w:rsidR="00707F0E" w:rsidRPr="00334808" w:rsidRDefault="00707F0E" w:rsidP="00707F0E">
      <w:pPr>
        <w:rPr>
          <w:rFonts w:asciiTheme="majorBidi" w:hAnsiTheme="majorBidi" w:cstheme="majorBidi"/>
          <w:sz w:val="32"/>
          <w:szCs w:val="32"/>
        </w:rPr>
      </w:pPr>
      <w:r w:rsidRPr="00334808">
        <w:rPr>
          <w:rFonts w:asciiTheme="majorBidi" w:hAnsiTheme="majorBidi" w:cstheme="majorBidi"/>
          <w:sz w:val="32"/>
          <w:szCs w:val="32"/>
        </w:rPr>
        <w:t>The next chapters will explore the major players—United States, Australia, New Zealand, Argentina, Chile, and South Africa—before highlighting the emerging regions that continue to push the boundaries of the wine world.</w:t>
      </w:r>
    </w:p>
    <w:p w14:paraId="0BC5FCAE" w14:textId="77777777" w:rsidR="00707F0E" w:rsidRPr="00334808" w:rsidRDefault="00707F0E">
      <w:pPr>
        <w:rPr>
          <w:rFonts w:asciiTheme="majorBidi" w:hAnsiTheme="majorBidi" w:cstheme="majorBidi"/>
          <w:sz w:val="32"/>
          <w:szCs w:val="32"/>
        </w:rPr>
      </w:pPr>
    </w:p>
    <w:sectPr w:rsidR="00707F0E" w:rsidRPr="003348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3A72" w14:textId="77777777" w:rsidR="006242DB" w:rsidRDefault="006242DB" w:rsidP="00DA6EA2">
      <w:pPr>
        <w:spacing w:after="0" w:line="240" w:lineRule="auto"/>
      </w:pPr>
      <w:r>
        <w:separator/>
      </w:r>
    </w:p>
  </w:endnote>
  <w:endnote w:type="continuationSeparator" w:id="0">
    <w:p w14:paraId="3B5D7938" w14:textId="77777777" w:rsidR="006242DB" w:rsidRDefault="006242DB" w:rsidP="00DA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9B8A" w14:textId="77777777" w:rsidR="006242DB" w:rsidRDefault="006242DB" w:rsidP="00DA6EA2">
      <w:pPr>
        <w:spacing w:after="0" w:line="240" w:lineRule="auto"/>
      </w:pPr>
      <w:r>
        <w:separator/>
      </w:r>
    </w:p>
  </w:footnote>
  <w:footnote w:type="continuationSeparator" w:id="0">
    <w:p w14:paraId="035C066A" w14:textId="77777777" w:rsidR="006242DB" w:rsidRDefault="006242DB" w:rsidP="00DA6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D1C25"/>
    <w:multiLevelType w:val="multilevel"/>
    <w:tmpl w:val="FC10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21E8E"/>
    <w:multiLevelType w:val="multilevel"/>
    <w:tmpl w:val="E2902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199523">
    <w:abstractNumId w:val="1"/>
  </w:num>
  <w:num w:numId="2" w16cid:durableId="175243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0E"/>
    <w:rsid w:val="00334808"/>
    <w:rsid w:val="006242DB"/>
    <w:rsid w:val="00707F0E"/>
    <w:rsid w:val="00987E13"/>
    <w:rsid w:val="00A3315D"/>
    <w:rsid w:val="00DA6E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82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F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F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F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7F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F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F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F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F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F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F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F0E"/>
    <w:rPr>
      <w:rFonts w:eastAsiaTheme="majorEastAsia" w:cstheme="majorBidi"/>
      <w:color w:val="272727" w:themeColor="text1" w:themeTint="D8"/>
    </w:rPr>
  </w:style>
  <w:style w:type="paragraph" w:styleId="Title">
    <w:name w:val="Title"/>
    <w:basedOn w:val="Normal"/>
    <w:next w:val="Normal"/>
    <w:link w:val="TitleChar"/>
    <w:uiPriority w:val="10"/>
    <w:qFormat/>
    <w:rsid w:val="00707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F0E"/>
    <w:pPr>
      <w:spacing w:before="160"/>
      <w:jc w:val="center"/>
    </w:pPr>
    <w:rPr>
      <w:i/>
      <w:iCs/>
      <w:color w:val="404040" w:themeColor="text1" w:themeTint="BF"/>
    </w:rPr>
  </w:style>
  <w:style w:type="character" w:customStyle="1" w:styleId="QuoteChar">
    <w:name w:val="Quote Char"/>
    <w:basedOn w:val="DefaultParagraphFont"/>
    <w:link w:val="Quote"/>
    <w:uiPriority w:val="29"/>
    <w:rsid w:val="00707F0E"/>
    <w:rPr>
      <w:i/>
      <w:iCs/>
      <w:color w:val="404040" w:themeColor="text1" w:themeTint="BF"/>
    </w:rPr>
  </w:style>
  <w:style w:type="paragraph" w:styleId="ListParagraph">
    <w:name w:val="List Paragraph"/>
    <w:basedOn w:val="Normal"/>
    <w:uiPriority w:val="34"/>
    <w:qFormat/>
    <w:rsid w:val="00707F0E"/>
    <w:pPr>
      <w:ind w:left="720"/>
      <w:contextualSpacing/>
    </w:pPr>
  </w:style>
  <w:style w:type="character" w:styleId="IntenseEmphasis">
    <w:name w:val="Intense Emphasis"/>
    <w:basedOn w:val="DefaultParagraphFont"/>
    <w:uiPriority w:val="21"/>
    <w:qFormat/>
    <w:rsid w:val="00707F0E"/>
    <w:rPr>
      <w:i/>
      <w:iCs/>
      <w:color w:val="2F5496" w:themeColor="accent1" w:themeShade="BF"/>
    </w:rPr>
  </w:style>
  <w:style w:type="paragraph" w:styleId="IntenseQuote">
    <w:name w:val="Intense Quote"/>
    <w:basedOn w:val="Normal"/>
    <w:next w:val="Normal"/>
    <w:link w:val="IntenseQuoteChar"/>
    <w:uiPriority w:val="30"/>
    <w:qFormat/>
    <w:rsid w:val="00707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F0E"/>
    <w:rPr>
      <w:i/>
      <w:iCs/>
      <w:color w:val="2F5496" w:themeColor="accent1" w:themeShade="BF"/>
    </w:rPr>
  </w:style>
  <w:style w:type="character" w:styleId="IntenseReference">
    <w:name w:val="Intense Reference"/>
    <w:basedOn w:val="DefaultParagraphFont"/>
    <w:uiPriority w:val="32"/>
    <w:qFormat/>
    <w:rsid w:val="00707F0E"/>
    <w:rPr>
      <w:b/>
      <w:bCs/>
      <w:smallCaps/>
      <w:color w:val="2F5496" w:themeColor="accent1" w:themeShade="BF"/>
      <w:spacing w:val="5"/>
    </w:rPr>
  </w:style>
  <w:style w:type="paragraph" w:styleId="Header">
    <w:name w:val="header"/>
    <w:basedOn w:val="Normal"/>
    <w:link w:val="HeaderChar"/>
    <w:uiPriority w:val="99"/>
    <w:unhideWhenUsed/>
    <w:rsid w:val="00DA6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EA2"/>
  </w:style>
  <w:style w:type="paragraph" w:styleId="Footer">
    <w:name w:val="footer"/>
    <w:basedOn w:val="Normal"/>
    <w:link w:val="FooterChar"/>
    <w:uiPriority w:val="99"/>
    <w:unhideWhenUsed/>
    <w:rsid w:val="00DA6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583251">
      <w:bodyDiv w:val="1"/>
      <w:marLeft w:val="0"/>
      <w:marRight w:val="0"/>
      <w:marTop w:val="0"/>
      <w:marBottom w:val="0"/>
      <w:divBdr>
        <w:top w:val="none" w:sz="0" w:space="0" w:color="auto"/>
        <w:left w:val="none" w:sz="0" w:space="0" w:color="auto"/>
        <w:bottom w:val="none" w:sz="0" w:space="0" w:color="auto"/>
        <w:right w:val="none" w:sz="0" w:space="0" w:color="auto"/>
      </w:divBdr>
    </w:div>
    <w:div w:id="214102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2025-05-14T02:53:00Z</dcterms:created>
  <dcterms:modified xsi:type="dcterms:W3CDTF">2025-05-14T02:53:00Z</dcterms:modified>
</cp:coreProperties>
</file>