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31D0"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Level IV Sommelier Certificate</w:t>
      </w:r>
    </w:p>
    <w:p w14:paraId="17F2C8AA"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Advanced Professional Mastery in Wine, Service, and Leadership</w:t>
      </w:r>
    </w:p>
    <w:p w14:paraId="5808DBE7"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b/>
          <w:bCs/>
          <w:sz w:val="36"/>
          <w:szCs w:val="36"/>
        </w:rPr>
        <w:t>15-Week Semester Format (Capstone Level)</w:t>
      </w:r>
    </w:p>
    <w:p w14:paraId="66E904F5"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b/>
          <w:bCs/>
          <w:sz w:val="36"/>
          <w:szCs w:val="36"/>
        </w:rPr>
        <w:t>Program Type:</w:t>
      </w:r>
      <w:r w:rsidRPr="0009088C">
        <w:rPr>
          <w:rFonts w:asciiTheme="majorBidi" w:hAnsiTheme="majorBidi" w:cstheme="majorBidi"/>
          <w:sz w:val="36"/>
          <w:szCs w:val="36"/>
        </w:rPr>
        <w:t xml:space="preserve"> Certificate Course – Continuing &amp; Professional Education</w:t>
      </w:r>
      <w:r w:rsidRPr="0009088C">
        <w:rPr>
          <w:rFonts w:asciiTheme="majorBidi" w:hAnsiTheme="majorBidi" w:cstheme="majorBidi"/>
          <w:sz w:val="36"/>
          <w:szCs w:val="36"/>
        </w:rPr>
        <w:br/>
      </w:r>
      <w:r w:rsidRPr="0009088C">
        <w:rPr>
          <w:rFonts w:asciiTheme="majorBidi" w:hAnsiTheme="majorBidi" w:cstheme="majorBidi"/>
          <w:b/>
          <w:bCs/>
          <w:sz w:val="36"/>
          <w:szCs w:val="36"/>
        </w:rPr>
        <w:t>Format:</w:t>
      </w:r>
      <w:r w:rsidRPr="0009088C">
        <w:rPr>
          <w:rFonts w:asciiTheme="majorBidi" w:hAnsiTheme="majorBidi" w:cstheme="majorBidi"/>
          <w:sz w:val="36"/>
          <w:szCs w:val="36"/>
        </w:rPr>
        <w:t xml:space="preserve"> Hybrid (seminar, guided tastings, service labs, independent research)</w:t>
      </w:r>
      <w:r w:rsidRPr="0009088C">
        <w:rPr>
          <w:rFonts w:asciiTheme="majorBidi" w:hAnsiTheme="majorBidi" w:cstheme="majorBidi"/>
          <w:sz w:val="36"/>
          <w:szCs w:val="36"/>
        </w:rPr>
        <w:br/>
      </w:r>
      <w:r w:rsidRPr="0009088C">
        <w:rPr>
          <w:rFonts w:asciiTheme="majorBidi" w:hAnsiTheme="majorBidi" w:cstheme="majorBidi"/>
          <w:b/>
          <w:bCs/>
          <w:sz w:val="36"/>
          <w:szCs w:val="36"/>
        </w:rPr>
        <w:t>Duration:</w:t>
      </w:r>
      <w:r w:rsidRPr="0009088C">
        <w:rPr>
          <w:rFonts w:asciiTheme="majorBidi" w:hAnsiTheme="majorBidi" w:cstheme="majorBidi"/>
          <w:sz w:val="36"/>
          <w:szCs w:val="36"/>
        </w:rPr>
        <w:t xml:space="preserve"> 15 weeks</w:t>
      </w:r>
      <w:r w:rsidRPr="0009088C">
        <w:rPr>
          <w:rFonts w:asciiTheme="majorBidi" w:hAnsiTheme="majorBidi" w:cstheme="majorBidi"/>
          <w:sz w:val="36"/>
          <w:szCs w:val="36"/>
        </w:rPr>
        <w:br/>
      </w:r>
      <w:r w:rsidRPr="0009088C">
        <w:rPr>
          <w:rFonts w:asciiTheme="majorBidi" w:hAnsiTheme="majorBidi" w:cstheme="majorBidi"/>
          <w:b/>
          <w:bCs/>
          <w:sz w:val="36"/>
          <w:szCs w:val="36"/>
        </w:rPr>
        <w:t>Prerequisite:</w:t>
      </w:r>
      <w:r w:rsidRPr="0009088C">
        <w:rPr>
          <w:rFonts w:asciiTheme="majorBidi" w:hAnsiTheme="majorBidi" w:cstheme="majorBidi"/>
          <w:sz w:val="36"/>
          <w:szCs w:val="36"/>
        </w:rPr>
        <w:t xml:space="preserve"> Level III Certificate or equivalent advanced professional credential</w:t>
      </w:r>
      <w:r w:rsidRPr="0009088C">
        <w:rPr>
          <w:rFonts w:asciiTheme="majorBidi" w:hAnsiTheme="majorBidi" w:cstheme="majorBidi"/>
          <w:sz w:val="36"/>
          <w:szCs w:val="36"/>
        </w:rPr>
        <w:br/>
      </w:r>
      <w:r w:rsidRPr="0009088C">
        <w:rPr>
          <w:rFonts w:asciiTheme="majorBidi" w:hAnsiTheme="majorBidi" w:cstheme="majorBidi"/>
          <w:b/>
          <w:bCs/>
          <w:sz w:val="36"/>
          <w:szCs w:val="36"/>
        </w:rPr>
        <w:t>Role in Program:</w:t>
      </w:r>
      <w:r w:rsidRPr="0009088C">
        <w:rPr>
          <w:rFonts w:asciiTheme="majorBidi" w:hAnsiTheme="majorBidi" w:cstheme="majorBidi"/>
          <w:sz w:val="36"/>
          <w:szCs w:val="36"/>
        </w:rPr>
        <w:t xml:space="preserve"> Terminal capstone for the four-level Sommelier Certificate</w:t>
      </w:r>
    </w:p>
    <w:p w14:paraId="14701541"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0537B4A0">
          <v:rect id="_x0000_i1151" style="width:0;height:1.5pt" o:hralign="center" o:hrstd="t" o:hr="t" fillcolor="#a0a0a0" stroked="f"/>
        </w:pict>
      </w:r>
    </w:p>
    <w:p w14:paraId="2AEC27D2"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Course Overview</w:t>
      </w:r>
    </w:p>
    <w:p w14:paraId="40C06886"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Level IV represents the highest level of professional development within the Sommelier Certificate. It is designed for experienced wine professionals seeking mastery in advanced sensory analysis, viticulture and winemaking science, global wine economics, leadership, and education.</w:t>
      </w:r>
    </w:p>
    <w:p w14:paraId="3076B03A"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 xml:space="preserve">The course emphasizes </w:t>
      </w:r>
      <w:r w:rsidRPr="0009088C">
        <w:rPr>
          <w:rFonts w:asciiTheme="majorBidi" w:hAnsiTheme="majorBidi" w:cstheme="majorBidi"/>
          <w:b/>
          <w:bCs/>
          <w:sz w:val="36"/>
          <w:szCs w:val="36"/>
        </w:rPr>
        <w:t>judgment, synthesis, and professional authority</w:t>
      </w:r>
      <w:r w:rsidRPr="0009088C">
        <w:rPr>
          <w:rFonts w:asciiTheme="majorBidi" w:hAnsiTheme="majorBidi" w:cstheme="majorBidi"/>
          <w:sz w:val="36"/>
          <w:szCs w:val="36"/>
        </w:rPr>
        <w:t>, not exam rehearsal. Students integrate theory, tasting, service, and research into applied, defensible conclusions suitable for senior industry roles or advanced certification pathways.</w:t>
      </w:r>
    </w:p>
    <w:p w14:paraId="545368DA"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45190E14">
          <v:rect id="_x0000_i1152" style="width:0;height:1.5pt" o:hralign="center" o:hrstd="t" o:hr="t" fillcolor="#a0a0a0" stroked="f"/>
        </w:pict>
      </w:r>
    </w:p>
    <w:p w14:paraId="1EEA4D7C"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Program Learning Outcomes</w:t>
      </w:r>
    </w:p>
    <w:p w14:paraId="1DAB632B"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Graduates of Level IV will be able to:</w:t>
      </w:r>
    </w:p>
    <w:p w14:paraId="53082949" w14:textId="77777777" w:rsidR="0009088C" w:rsidRPr="0009088C" w:rsidRDefault="0009088C" w:rsidP="0009088C">
      <w:pPr>
        <w:numPr>
          <w:ilvl w:val="0"/>
          <w:numId w:val="1"/>
        </w:numPr>
        <w:rPr>
          <w:rFonts w:asciiTheme="majorBidi" w:hAnsiTheme="majorBidi" w:cstheme="majorBidi"/>
          <w:sz w:val="36"/>
          <w:szCs w:val="36"/>
        </w:rPr>
      </w:pPr>
      <w:r w:rsidRPr="0009088C">
        <w:rPr>
          <w:rFonts w:asciiTheme="majorBidi" w:hAnsiTheme="majorBidi" w:cstheme="majorBidi"/>
          <w:sz w:val="36"/>
          <w:szCs w:val="36"/>
        </w:rPr>
        <w:t>Perform advanced deductive blind tasting under timed, professional conditions</w:t>
      </w:r>
    </w:p>
    <w:p w14:paraId="7B24A5FD" w14:textId="77777777" w:rsidR="0009088C" w:rsidRPr="0009088C" w:rsidRDefault="0009088C" w:rsidP="0009088C">
      <w:pPr>
        <w:numPr>
          <w:ilvl w:val="0"/>
          <w:numId w:val="1"/>
        </w:numPr>
        <w:rPr>
          <w:rFonts w:asciiTheme="majorBidi" w:hAnsiTheme="majorBidi" w:cstheme="majorBidi"/>
          <w:sz w:val="36"/>
          <w:szCs w:val="36"/>
        </w:rPr>
      </w:pPr>
      <w:r w:rsidRPr="0009088C">
        <w:rPr>
          <w:rFonts w:asciiTheme="majorBidi" w:hAnsiTheme="majorBidi" w:cstheme="majorBidi"/>
          <w:sz w:val="36"/>
          <w:szCs w:val="36"/>
        </w:rPr>
        <w:t>Analyze wine through viticultural, enological, geological, and climatic frameworks</w:t>
      </w:r>
    </w:p>
    <w:p w14:paraId="4800DE42" w14:textId="77777777" w:rsidR="0009088C" w:rsidRPr="0009088C" w:rsidRDefault="0009088C" w:rsidP="0009088C">
      <w:pPr>
        <w:numPr>
          <w:ilvl w:val="0"/>
          <w:numId w:val="1"/>
        </w:numPr>
        <w:rPr>
          <w:rFonts w:asciiTheme="majorBidi" w:hAnsiTheme="majorBidi" w:cstheme="majorBidi"/>
          <w:sz w:val="36"/>
          <w:szCs w:val="36"/>
        </w:rPr>
      </w:pPr>
      <w:r w:rsidRPr="0009088C">
        <w:rPr>
          <w:rFonts w:asciiTheme="majorBidi" w:hAnsiTheme="majorBidi" w:cstheme="majorBidi"/>
          <w:sz w:val="36"/>
          <w:szCs w:val="36"/>
        </w:rPr>
        <w:t>Execute high-level tableside service and program design decisions</w:t>
      </w:r>
    </w:p>
    <w:p w14:paraId="645B73D9" w14:textId="77777777" w:rsidR="0009088C" w:rsidRPr="0009088C" w:rsidRDefault="0009088C" w:rsidP="0009088C">
      <w:pPr>
        <w:numPr>
          <w:ilvl w:val="0"/>
          <w:numId w:val="1"/>
        </w:numPr>
        <w:rPr>
          <w:rFonts w:asciiTheme="majorBidi" w:hAnsiTheme="majorBidi" w:cstheme="majorBidi"/>
          <w:sz w:val="36"/>
          <w:szCs w:val="36"/>
        </w:rPr>
      </w:pPr>
      <w:r w:rsidRPr="0009088C">
        <w:rPr>
          <w:rFonts w:asciiTheme="majorBidi" w:hAnsiTheme="majorBidi" w:cstheme="majorBidi"/>
          <w:sz w:val="36"/>
          <w:szCs w:val="36"/>
        </w:rPr>
        <w:t>Evaluate global wine markets, pricing, and sustainability strategies</w:t>
      </w:r>
    </w:p>
    <w:p w14:paraId="23783EED" w14:textId="77777777" w:rsidR="0009088C" w:rsidRPr="0009088C" w:rsidRDefault="0009088C" w:rsidP="0009088C">
      <w:pPr>
        <w:numPr>
          <w:ilvl w:val="0"/>
          <w:numId w:val="1"/>
        </w:numPr>
        <w:rPr>
          <w:rFonts w:asciiTheme="majorBidi" w:hAnsiTheme="majorBidi" w:cstheme="majorBidi"/>
          <w:sz w:val="36"/>
          <w:szCs w:val="36"/>
        </w:rPr>
      </w:pPr>
      <w:r w:rsidRPr="0009088C">
        <w:rPr>
          <w:rFonts w:asciiTheme="majorBidi" w:hAnsiTheme="majorBidi" w:cstheme="majorBidi"/>
          <w:sz w:val="36"/>
          <w:szCs w:val="36"/>
        </w:rPr>
        <w:t>Design, manage, and audit advanced wine programs</w:t>
      </w:r>
    </w:p>
    <w:p w14:paraId="5712BD93" w14:textId="77777777" w:rsidR="0009088C" w:rsidRPr="0009088C" w:rsidRDefault="0009088C" w:rsidP="0009088C">
      <w:pPr>
        <w:numPr>
          <w:ilvl w:val="0"/>
          <w:numId w:val="1"/>
        </w:numPr>
        <w:rPr>
          <w:rFonts w:asciiTheme="majorBidi" w:hAnsiTheme="majorBidi" w:cstheme="majorBidi"/>
          <w:sz w:val="36"/>
          <w:szCs w:val="36"/>
        </w:rPr>
      </w:pPr>
      <w:r w:rsidRPr="0009088C">
        <w:rPr>
          <w:rFonts w:asciiTheme="majorBidi" w:hAnsiTheme="majorBidi" w:cstheme="majorBidi"/>
          <w:sz w:val="36"/>
          <w:szCs w:val="36"/>
        </w:rPr>
        <w:t>Communicate and teach wine knowledge at a professional level</w:t>
      </w:r>
    </w:p>
    <w:p w14:paraId="04FF8214" w14:textId="77777777" w:rsidR="0009088C" w:rsidRPr="0009088C" w:rsidRDefault="0009088C" w:rsidP="0009088C">
      <w:pPr>
        <w:numPr>
          <w:ilvl w:val="0"/>
          <w:numId w:val="1"/>
        </w:numPr>
        <w:rPr>
          <w:rFonts w:asciiTheme="majorBidi" w:hAnsiTheme="majorBidi" w:cstheme="majorBidi"/>
          <w:sz w:val="36"/>
          <w:szCs w:val="36"/>
        </w:rPr>
      </w:pPr>
      <w:r w:rsidRPr="0009088C">
        <w:rPr>
          <w:rFonts w:asciiTheme="majorBidi" w:hAnsiTheme="majorBidi" w:cstheme="majorBidi"/>
          <w:sz w:val="36"/>
          <w:szCs w:val="36"/>
        </w:rPr>
        <w:t>Research, write, and defend an original capstone project using academic standards</w:t>
      </w:r>
    </w:p>
    <w:p w14:paraId="592DEC4A"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6D3DF8B1">
          <v:rect id="_x0000_i1153" style="width:0;height:1.5pt" o:hralign="center" o:hrstd="t" o:hr="t" fillcolor="#a0a0a0" stroked="f"/>
        </w:pict>
      </w:r>
    </w:p>
    <w:p w14:paraId="51CEC778"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Weekly Course Structure (15 Weeks)</w:t>
      </w:r>
    </w:p>
    <w:p w14:paraId="04C738B7"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1 – Professional Orientation and Calibration</w:t>
      </w:r>
    </w:p>
    <w:p w14:paraId="69D76A18"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Transition from advanced competency to professional mastery.</w:t>
      </w:r>
      <w:r w:rsidRPr="0009088C">
        <w:rPr>
          <w:rFonts w:asciiTheme="majorBidi" w:hAnsiTheme="majorBidi" w:cstheme="majorBidi"/>
          <w:sz w:val="36"/>
          <w:szCs w:val="36"/>
        </w:rPr>
        <w:br/>
        <w:t>Advanced tasting framework review and calibration.</w:t>
      </w:r>
      <w:r w:rsidRPr="0009088C">
        <w:rPr>
          <w:rFonts w:asciiTheme="majorBidi" w:hAnsiTheme="majorBidi" w:cstheme="majorBidi"/>
          <w:sz w:val="36"/>
          <w:szCs w:val="36"/>
        </w:rPr>
        <w:br/>
      </w:r>
      <w:r w:rsidRPr="0009088C">
        <w:rPr>
          <w:rFonts w:asciiTheme="majorBidi" w:hAnsiTheme="majorBidi" w:cstheme="majorBidi"/>
          <w:i/>
          <w:iCs/>
          <w:sz w:val="36"/>
          <w:szCs w:val="36"/>
        </w:rPr>
        <w:t>Tasting:</w:t>
      </w:r>
      <w:r w:rsidRPr="0009088C">
        <w:rPr>
          <w:rFonts w:asciiTheme="majorBidi" w:hAnsiTheme="majorBidi" w:cstheme="majorBidi"/>
          <w:sz w:val="36"/>
          <w:szCs w:val="36"/>
        </w:rPr>
        <w:t xml:space="preserve"> Diagnostic blind tasting (3 wines)</w:t>
      </w:r>
    </w:p>
    <w:p w14:paraId="080DFB9B"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7D7A9FEC">
          <v:rect id="_x0000_i1154" style="width:0;height:1.5pt" o:hralign="center" o:hrstd="t" o:hr="t" fillcolor="#a0a0a0" stroked="f"/>
        </w:pict>
      </w:r>
    </w:p>
    <w:p w14:paraId="1B7A1778"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2 – Advanced Viticulture and Climate Science</w:t>
      </w:r>
    </w:p>
    <w:p w14:paraId="35E305E0"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Soil chemistry, canopy management, phenolic development.</w:t>
      </w:r>
      <w:r w:rsidRPr="0009088C">
        <w:rPr>
          <w:rFonts w:asciiTheme="majorBidi" w:hAnsiTheme="majorBidi" w:cstheme="majorBidi"/>
          <w:sz w:val="36"/>
          <w:szCs w:val="36"/>
        </w:rPr>
        <w:br/>
        <w:t>Climate change, water stress, and regional adaptation strategies.</w:t>
      </w:r>
    </w:p>
    <w:p w14:paraId="61652D74"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64562A3A">
          <v:rect id="_x0000_i1155" style="width:0;height:1.5pt" o:hralign="center" o:hrstd="t" o:hr="t" fillcolor="#a0a0a0" stroked="f"/>
        </w:pict>
      </w:r>
    </w:p>
    <w:p w14:paraId="018D9522"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3 – Advanced Winemaking and Sensory Chemistry</w:t>
      </w:r>
    </w:p>
    <w:p w14:paraId="2F9EF299"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Oxygen management, reductive vs oxidative styles.</w:t>
      </w:r>
      <w:r w:rsidRPr="0009088C">
        <w:rPr>
          <w:rFonts w:asciiTheme="majorBidi" w:hAnsiTheme="majorBidi" w:cstheme="majorBidi"/>
          <w:sz w:val="36"/>
          <w:szCs w:val="36"/>
        </w:rPr>
        <w:br/>
        <w:t>Chemical markers of aroma, texture, and aging.</w:t>
      </w:r>
    </w:p>
    <w:p w14:paraId="7FCDA8BA"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589ED8E6">
          <v:rect id="_x0000_i1156" style="width:0;height:1.5pt" o:hralign="center" o:hrstd="t" o:hr="t" fillcolor="#a0a0a0" stroked="f"/>
        </w:pict>
      </w:r>
    </w:p>
    <w:p w14:paraId="0FCEE86A"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4 – Old World Mastery I: Site, Law, and History</w:t>
      </w:r>
    </w:p>
    <w:p w14:paraId="0FB6D78B"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Burgundy, Barolo, Mosel.</w:t>
      </w:r>
      <w:r w:rsidRPr="0009088C">
        <w:rPr>
          <w:rFonts w:asciiTheme="majorBidi" w:hAnsiTheme="majorBidi" w:cstheme="majorBidi"/>
          <w:sz w:val="36"/>
          <w:szCs w:val="36"/>
        </w:rPr>
        <w:br/>
        <w:t>Legal frameworks and historical evolution.</w:t>
      </w:r>
    </w:p>
    <w:p w14:paraId="7477A956"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60F3C39F">
          <v:rect id="_x0000_i1157" style="width:0;height:1.5pt" o:hralign="center" o:hrstd="t" o:hr="t" fillcolor="#a0a0a0" stroked="f"/>
        </w:pict>
      </w:r>
    </w:p>
    <w:p w14:paraId="2DA85123"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5 – Old World Mastery II: Power, Structure, and Longevity</w:t>
      </w:r>
    </w:p>
    <w:p w14:paraId="2D3D8029"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Ribera del Duero, Bordeaux, Port.</w:t>
      </w:r>
      <w:r w:rsidRPr="0009088C">
        <w:rPr>
          <w:rFonts w:asciiTheme="majorBidi" w:hAnsiTheme="majorBidi" w:cstheme="majorBidi"/>
          <w:sz w:val="36"/>
          <w:szCs w:val="36"/>
        </w:rPr>
        <w:br/>
        <w:t>Longevity, maturity assessment, and service implications.</w:t>
      </w:r>
    </w:p>
    <w:p w14:paraId="2B6A7392"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02A4A353">
          <v:rect id="_x0000_i1158" style="width:0;height:1.5pt" o:hralign="center" o:hrstd="t" o:hr="t" fillcolor="#a0a0a0" stroked="f"/>
        </w:pict>
      </w:r>
    </w:p>
    <w:p w14:paraId="2DE0773D"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6 – Emerging Regions and Innovation</w:t>
      </w:r>
    </w:p>
    <w:p w14:paraId="174B38C7"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South America, South Africa, Australia, New Zealand, Asia.</w:t>
      </w:r>
      <w:r w:rsidRPr="0009088C">
        <w:rPr>
          <w:rFonts w:asciiTheme="majorBidi" w:hAnsiTheme="majorBidi" w:cstheme="majorBidi"/>
          <w:sz w:val="36"/>
          <w:szCs w:val="36"/>
        </w:rPr>
        <w:br/>
        <w:t>Minimal-intervention wines and modern enology.</w:t>
      </w:r>
    </w:p>
    <w:p w14:paraId="3BCDE70F"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011A6499">
          <v:rect id="_x0000_i1159" style="width:0;height:1.5pt" o:hralign="center" o:hrstd="t" o:hr="t" fillcolor="#a0a0a0" stroked="f"/>
        </w:pict>
      </w:r>
    </w:p>
    <w:p w14:paraId="65261033"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7 – Sparkling and Fortified Wine Mastery</w:t>
      </w:r>
    </w:p>
    <w:p w14:paraId="004867FF"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Traditional and alternative sparkling methods.</w:t>
      </w:r>
      <w:r w:rsidRPr="0009088C">
        <w:rPr>
          <w:rFonts w:asciiTheme="majorBidi" w:hAnsiTheme="majorBidi" w:cstheme="majorBidi"/>
          <w:sz w:val="36"/>
          <w:szCs w:val="36"/>
        </w:rPr>
        <w:br/>
        <w:t>Advanced fortified wine production and service judgment.</w:t>
      </w:r>
    </w:p>
    <w:p w14:paraId="74CA5197"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6C91F2F6">
          <v:rect id="_x0000_i1160" style="width:0;height:1.5pt" o:hralign="center" o:hrstd="t" o:hr="t" fillcolor="#a0a0a0" stroked="f"/>
        </w:pict>
      </w:r>
    </w:p>
    <w:p w14:paraId="10A8F14A"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8 – Advanced Blind Tasting and Calibration</w:t>
      </w:r>
    </w:p>
    <w:p w14:paraId="3C3D673E"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Timed blind tasting (4–5 wines).</w:t>
      </w:r>
      <w:r w:rsidRPr="0009088C">
        <w:rPr>
          <w:rFonts w:asciiTheme="majorBidi" w:hAnsiTheme="majorBidi" w:cstheme="majorBidi"/>
          <w:sz w:val="36"/>
          <w:szCs w:val="36"/>
        </w:rPr>
        <w:br/>
        <w:t>Verbal defense, error analysis, and calibration refinement.</w:t>
      </w:r>
    </w:p>
    <w:p w14:paraId="1AAE9AAE"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3622ACBE">
          <v:rect id="_x0000_i1161" style="width:0;height:1.5pt" o:hralign="center" o:hrstd="t" o:hr="t" fillcolor="#a0a0a0" stroked="f"/>
        </w:pict>
      </w:r>
    </w:p>
    <w:p w14:paraId="3770C0EE"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9 – Wine and Cuisine Integration</w:t>
      </w:r>
    </w:p>
    <w:p w14:paraId="7BA63B61"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Advanced food-and-wine interaction.</w:t>
      </w:r>
      <w:r w:rsidRPr="0009088C">
        <w:rPr>
          <w:rFonts w:asciiTheme="majorBidi" w:hAnsiTheme="majorBidi" w:cstheme="majorBidi"/>
          <w:sz w:val="36"/>
          <w:szCs w:val="36"/>
        </w:rPr>
        <w:br/>
        <w:t>Progressive pairing design and written justification.</w:t>
      </w:r>
    </w:p>
    <w:p w14:paraId="3340FF09"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6B49B28A">
          <v:rect id="_x0000_i1162" style="width:0;height:1.5pt" o:hralign="center" o:hrstd="t" o:hr="t" fillcolor="#a0a0a0" stroked="f"/>
        </w:pict>
      </w:r>
    </w:p>
    <w:p w14:paraId="5F84CD6A"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10 – Global Wine Economics and Sustainability</w:t>
      </w:r>
    </w:p>
    <w:p w14:paraId="04C950D9"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Market dynamics, pricing strategy, ESG frameworks.</w:t>
      </w:r>
      <w:r w:rsidRPr="0009088C">
        <w:rPr>
          <w:rFonts w:asciiTheme="majorBidi" w:hAnsiTheme="majorBidi" w:cstheme="majorBidi"/>
          <w:sz w:val="36"/>
          <w:szCs w:val="36"/>
        </w:rPr>
        <w:br/>
        <w:t>Portfolio management and responsible sourcing.</w:t>
      </w:r>
    </w:p>
    <w:p w14:paraId="3A2F598B"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055336D9">
          <v:rect id="_x0000_i1163" style="width:0;height:1.5pt" o:hralign="center" o:hrstd="t" o:hr="t" fillcolor="#a0a0a0" stroked="f"/>
        </w:pict>
      </w:r>
    </w:p>
    <w:p w14:paraId="458AF2A0"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11 – Wine Program Leadership and Education</w:t>
      </w:r>
    </w:p>
    <w:p w14:paraId="7E8AC8C0"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Wine list architecture, cellar strategy, and staff training.</w:t>
      </w:r>
      <w:r w:rsidRPr="0009088C">
        <w:rPr>
          <w:rFonts w:asciiTheme="majorBidi" w:hAnsiTheme="majorBidi" w:cstheme="majorBidi"/>
          <w:sz w:val="36"/>
          <w:szCs w:val="36"/>
        </w:rPr>
        <w:br/>
        <w:t>Guest engagement and education delivery models.</w:t>
      </w:r>
    </w:p>
    <w:p w14:paraId="2D446BC8"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646BC6B9">
          <v:rect id="_x0000_i1164" style="width:0;height:1.5pt" o:hralign="center" o:hrstd="t" o:hr="t" fillcolor="#a0a0a0" stroked="f"/>
        </w:pict>
      </w:r>
    </w:p>
    <w:p w14:paraId="34E79F37"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12 – Capstone Research Development</w:t>
      </w:r>
    </w:p>
    <w:p w14:paraId="34D3C65D"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Research methodology, source evaluation, and argument structure.</w:t>
      </w:r>
      <w:r w:rsidRPr="0009088C">
        <w:rPr>
          <w:rFonts w:asciiTheme="majorBidi" w:hAnsiTheme="majorBidi" w:cstheme="majorBidi"/>
          <w:sz w:val="36"/>
          <w:szCs w:val="36"/>
        </w:rPr>
        <w:br/>
        <w:t>Faculty review of capstone drafts.</w:t>
      </w:r>
    </w:p>
    <w:p w14:paraId="3B6DBF44"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15B38146">
          <v:rect id="_x0000_i1165" style="width:0;height:1.5pt" o:hralign="center" o:hrstd="t" o:hr="t" fillcolor="#a0a0a0" stroked="f"/>
        </w:pict>
      </w:r>
    </w:p>
    <w:p w14:paraId="7C4F799A"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13 – Professional Integration and Applied Judgment</w:t>
      </w:r>
    </w:p>
    <w:p w14:paraId="0FF90A5A"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Advanced service scenarios.</w:t>
      </w:r>
      <w:r w:rsidRPr="0009088C">
        <w:rPr>
          <w:rFonts w:asciiTheme="majorBidi" w:hAnsiTheme="majorBidi" w:cstheme="majorBidi"/>
          <w:sz w:val="36"/>
          <w:szCs w:val="36"/>
        </w:rPr>
        <w:br/>
        <w:t>Program decision-making exercises and case studies.</w:t>
      </w:r>
    </w:p>
    <w:p w14:paraId="600EC67B"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22731AA5">
          <v:rect id="_x0000_i1166" style="width:0;height:1.5pt" o:hralign="center" o:hrstd="t" o:hr="t" fillcolor="#a0a0a0" stroked="f"/>
        </w:pict>
      </w:r>
    </w:p>
    <w:p w14:paraId="31E147D5"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14 – Capstone Defense Preparation</w:t>
      </w:r>
    </w:p>
    <w:p w14:paraId="2A8D867B"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Blind tasting coaching.</w:t>
      </w:r>
      <w:r w:rsidRPr="0009088C">
        <w:rPr>
          <w:rFonts w:asciiTheme="majorBidi" w:hAnsiTheme="majorBidi" w:cstheme="majorBidi"/>
          <w:sz w:val="36"/>
          <w:szCs w:val="36"/>
        </w:rPr>
        <w:br/>
        <w:t>Mock examinations and capstone presentation rehearsal.</w:t>
      </w:r>
    </w:p>
    <w:p w14:paraId="126CD6D5"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34D1F8F8">
          <v:rect id="_x0000_i1167" style="width:0;height:1.5pt" o:hralign="center" o:hrstd="t" o:hr="t" fillcolor="#a0a0a0" stroked="f"/>
        </w:pict>
      </w:r>
    </w:p>
    <w:p w14:paraId="747A5B0E"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Week 15 – Final Assessments</w:t>
      </w:r>
    </w:p>
    <w:p w14:paraId="15041256" w14:textId="77777777" w:rsidR="0009088C" w:rsidRPr="0009088C" w:rsidRDefault="0009088C" w:rsidP="0009088C">
      <w:pPr>
        <w:numPr>
          <w:ilvl w:val="0"/>
          <w:numId w:val="2"/>
        </w:numPr>
        <w:rPr>
          <w:rFonts w:asciiTheme="majorBidi" w:hAnsiTheme="majorBidi" w:cstheme="majorBidi"/>
          <w:sz w:val="36"/>
          <w:szCs w:val="36"/>
        </w:rPr>
      </w:pPr>
      <w:r w:rsidRPr="0009088C">
        <w:rPr>
          <w:rFonts w:asciiTheme="majorBidi" w:hAnsiTheme="majorBidi" w:cstheme="majorBidi"/>
          <w:sz w:val="36"/>
          <w:szCs w:val="36"/>
        </w:rPr>
        <w:t>Comprehensive blind tasting</w:t>
      </w:r>
    </w:p>
    <w:p w14:paraId="58403699" w14:textId="77777777" w:rsidR="0009088C" w:rsidRPr="0009088C" w:rsidRDefault="0009088C" w:rsidP="0009088C">
      <w:pPr>
        <w:numPr>
          <w:ilvl w:val="0"/>
          <w:numId w:val="2"/>
        </w:numPr>
        <w:rPr>
          <w:rFonts w:asciiTheme="majorBidi" w:hAnsiTheme="majorBidi" w:cstheme="majorBidi"/>
          <w:sz w:val="36"/>
          <w:szCs w:val="36"/>
        </w:rPr>
      </w:pPr>
      <w:r w:rsidRPr="0009088C">
        <w:rPr>
          <w:rFonts w:asciiTheme="majorBidi" w:hAnsiTheme="majorBidi" w:cstheme="majorBidi"/>
          <w:sz w:val="36"/>
          <w:szCs w:val="36"/>
        </w:rPr>
        <w:t>Advanced service practicum</w:t>
      </w:r>
    </w:p>
    <w:p w14:paraId="327B5EC1" w14:textId="77777777" w:rsidR="0009088C" w:rsidRPr="0009088C" w:rsidRDefault="0009088C" w:rsidP="0009088C">
      <w:pPr>
        <w:numPr>
          <w:ilvl w:val="0"/>
          <w:numId w:val="2"/>
        </w:numPr>
        <w:rPr>
          <w:rFonts w:asciiTheme="majorBidi" w:hAnsiTheme="majorBidi" w:cstheme="majorBidi"/>
          <w:sz w:val="36"/>
          <w:szCs w:val="36"/>
        </w:rPr>
      </w:pPr>
      <w:r w:rsidRPr="0009088C">
        <w:rPr>
          <w:rFonts w:asciiTheme="majorBidi" w:hAnsiTheme="majorBidi" w:cstheme="majorBidi"/>
          <w:sz w:val="36"/>
          <w:szCs w:val="36"/>
        </w:rPr>
        <w:t>Written theory examination</w:t>
      </w:r>
    </w:p>
    <w:p w14:paraId="41EEDD6B" w14:textId="77777777" w:rsidR="0009088C" w:rsidRPr="0009088C" w:rsidRDefault="0009088C" w:rsidP="0009088C">
      <w:pPr>
        <w:numPr>
          <w:ilvl w:val="0"/>
          <w:numId w:val="2"/>
        </w:numPr>
        <w:rPr>
          <w:rFonts w:asciiTheme="majorBidi" w:hAnsiTheme="majorBidi" w:cstheme="majorBidi"/>
          <w:sz w:val="36"/>
          <w:szCs w:val="36"/>
        </w:rPr>
      </w:pPr>
      <w:r w:rsidRPr="0009088C">
        <w:rPr>
          <w:rFonts w:asciiTheme="majorBidi" w:hAnsiTheme="majorBidi" w:cstheme="majorBidi"/>
          <w:sz w:val="36"/>
          <w:szCs w:val="36"/>
        </w:rPr>
        <w:t>Capstone presentation and oral defense</w:t>
      </w:r>
    </w:p>
    <w:p w14:paraId="03B11A68"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76491171">
          <v:rect id="_x0000_i1168" style="width:0;height:1.5pt" o:hralign="center" o:hrstd="t" o:hr="t" fillcolor="#a0a0a0" stroked="f"/>
        </w:pict>
      </w:r>
    </w:p>
    <w:p w14:paraId="3C4EB4AA"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Capstone Research Project</w:t>
      </w:r>
    </w:p>
    <w:p w14:paraId="3275B008"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 xml:space="preserve">Students complete a </w:t>
      </w:r>
      <w:r w:rsidRPr="0009088C">
        <w:rPr>
          <w:rFonts w:asciiTheme="majorBidi" w:hAnsiTheme="majorBidi" w:cstheme="majorBidi"/>
          <w:b/>
          <w:bCs/>
          <w:sz w:val="36"/>
          <w:szCs w:val="36"/>
        </w:rPr>
        <w:t>2,000-word research paper</w:t>
      </w:r>
      <w:r w:rsidRPr="0009088C">
        <w:rPr>
          <w:rFonts w:asciiTheme="majorBidi" w:hAnsiTheme="majorBidi" w:cstheme="majorBidi"/>
          <w:sz w:val="36"/>
          <w:szCs w:val="36"/>
        </w:rPr>
        <w:t xml:space="preserve"> and oral defense on an approved topic connecting wine science, business, sustainability, or education.</w:t>
      </w:r>
    </w:p>
    <w:p w14:paraId="67EEE750"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Projects must demonstrate:</w:t>
      </w:r>
    </w:p>
    <w:p w14:paraId="532CE20B" w14:textId="77777777" w:rsidR="0009088C" w:rsidRPr="0009088C" w:rsidRDefault="0009088C" w:rsidP="0009088C">
      <w:pPr>
        <w:numPr>
          <w:ilvl w:val="0"/>
          <w:numId w:val="3"/>
        </w:numPr>
        <w:rPr>
          <w:rFonts w:asciiTheme="majorBidi" w:hAnsiTheme="majorBidi" w:cstheme="majorBidi"/>
          <w:sz w:val="36"/>
          <w:szCs w:val="36"/>
        </w:rPr>
      </w:pPr>
      <w:r w:rsidRPr="0009088C">
        <w:rPr>
          <w:rFonts w:asciiTheme="majorBidi" w:hAnsiTheme="majorBidi" w:cstheme="majorBidi"/>
          <w:sz w:val="36"/>
          <w:szCs w:val="36"/>
        </w:rPr>
        <w:t>Original analysis</w:t>
      </w:r>
    </w:p>
    <w:p w14:paraId="7BE8B51B" w14:textId="77777777" w:rsidR="0009088C" w:rsidRPr="0009088C" w:rsidRDefault="0009088C" w:rsidP="0009088C">
      <w:pPr>
        <w:numPr>
          <w:ilvl w:val="0"/>
          <w:numId w:val="3"/>
        </w:numPr>
        <w:rPr>
          <w:rFonts w:asciiTheme="majorBidi" w:hAnsiTheme="majorBidi" w:cstheme="majorBidi"/>
          <w:sz w:val="36"/>
          <w:szCs w:val="36"/>
        </w:rPr>
      </w:pPr>
      <w:r w:rsidRPr="0009088C">
        <w:rPr>
          <w:rFonts w:asciiTheme="majorBidi" w:hAnsiTheme="majorBidi" w:cstheme="majorBidi"/>
          <w:sz w:val="36"/>
          <w:szCs w:val="36"/>
        </w:rPr>
        <w:t>Professional relevance</w:t>
      </w:r>
    </w:p>
    <w:p w14:paraId="2978C957" w14:textId="77777777" w:rsidR="0009088C" w:rsidRPr="0009088C" w:rsidRDefault="0009088C" w:rsidP="0009088C">
      <w:pPr>
        <w:numPr>
          <w:ilvl w:val="0"/>
          <w:numId w:val="3"/>
        </w:numPr>
        <w:rPr>
          <w:rFonts w:asciiTheme="majorBidi" w:hAnsiTheme="majorBidi" w:cstheme="majorBidi"/>
          <w:sz w:val="36"/>
          <w:szCs w:val="36"/>
        </w:rPr>
      </w:pPr>
      <w:r w:rsidRPr="0009088C">
        <w:rPr>
          <w:rFonts w:asciiTheme="majorBidi" w:hAnsiTheme="majorBidi" w:cstheme="majorBidi"/>
          <w:sz w:val="36"/>
          <w:szCs w:val="36"/>
        </w:rPr>
        <w:t>Clear methodology</w:t>
      </w:r>
    </w:p>
    <w:p w14:paraId="19D0E440" w14:textId="77777777" w:rsidR="0009088C" w:rsidRPr="0009088C" w:rsidRDefault="0009088C" w:rsidP="0009088C">
      <w:pPr>
        <w:numPr>
          <w:ilvl w:val="0"/>
          <w:numId w:val="3"/>
        </w:numPr>
        <w:rPr>
          <w:rFonts w:asciiTheme="majorBidi" w:hAnsiTheme="majorBidi" w:cstheme="majorBidi"/>
          <w:sz w:val="36"/>
          <w:szCs w:val="36"/>
        </w:rPr>
      </w:pPr>
      <w:r w:rsidRPr="0009088C">
        <w:rPr>
          <w:rFonts w:asciiTheme="majorBidi" w:hAnsiTheme="majorBidi" w:cstheme="majorBidi"/>
          <w:sz w:val="36"/>
          <w:szCs w:val="36"/>
        </w:rPr>
        <w:t>Defensible conclusions</w:t>
      </w:r>
    </w:p>
    <w:p w14:paraId="7DD13653"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6C2F0399">
          <v:rect id="_x0000_i1169" style="width:0;height:1.5pt" o:hralign="center" o:hrstd="t" o:hr="t" fillcolor="#a0a0a0" stroked="f"/>
        </w:pict>
      </w:r>
    </w:p>
    <w:p w14:paraId="5E1E0E81"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Assessment Overview</w:t>
      </w:r>
    </w:p>
    <w:p w14:paraId="421F4A8C" w14:textId="77777777" w:rsidR="0009088C" w:rsidRPr="0009088C" w:rsidRDefault="0009088C" w:rsidP="0009088C">
      <w:pPr>
        <w:numPr>
          <w:ilvl w:val="0"/>
          <w:numId w:val="4"/>
        </w:numPr>
        <w:rPr>
          <w:rFonts w:asciiTheme="majorBidi" w:hAnsiTheme="majorBidi" w:cstheme="majorBidi"/>
          <w:sz w:val="36"/>
          <w:szCs w:val="36"/>
        </w:rPr>
      </w:pPr>
      <w:r w:rsidRPr="0009088C">
        <w:rPr>
          <w:rFonts w:asciiTheme="majorBidi" w:hAnsiTheme="majorBidi" w:cstheme="majorBidi"/>
          <w:sz w:val="36"/>
          <w:szCs w:val="36"/>
        </w:rPr>
        <w:t>Blind Tasting Examination (6 wines)</w:t>
      </w:r>
    </w:p>
    <w:p w14:paraId="457BB4FA" w14:textId="77777777" w:rsidR="0009088C" w:rsidRPr="0009088C" w:rsidRDefault="0009088C" w:rsidP="0009088C">
      <w:pPr>
        <w:numPr>
          <w:ilvl w:val="0"/>
          <w:numId w:val="4"/>
        </w:numPr>
        <w:rPr>
          <w:rFonts w:asciiTheme="majorBidi" w:hAnsiTheme="majorBidi" w:cstheme="majorBidi"/>
          <w:sz w:val="36"/>
          <w:szCs w:val="36"/>
        </w:rPr>
      </w:pPr>
      <w:r w:rsidRPr="0009088C">
        <w:rPr>
          <w:rFonts w:asciiTheme="majorBidi" w:hAnsiTheme="majorBidi" w:cstheme="majorBidi"/>
          <w:sz w:val="36"/>
          <w:szCs w:val="36"/>
        </w:rPr>
        <w:t>Written Theory Examination</w:t>
      </w:r>
    </w:p>
    <w:p w14:paraId="35DAA5AD" w14:textId="77777777" w:rsidR="0009088C" w:rsidRPr="0009088C" w:rsidRDefault="0009088C" w:rsidP="0009088C">
      <w:pPr>
        <w:numPr>
          <w:ilvl w:val="0"/>
          <w:numId w:val="4"/>
        </w:numPr>
        <w:rPr>
          <w:rFonts w:asciiTheme="majorBidi" w:hAnsiTheme="majorBidi" w:cstheme="majorBidi"/>
          <w:sz w:val="36"/>
          <w:szCs w:val="36"/>
        </w:rPr>
      </w:pPr>
      <w:r w:rsidRPr="0009088C">
        <w:rPr>
          <w:rFonts w:asciiTheme="majorBidi" w:hAnsiTheme="majorBidi" w:cstheme="majorBidi"/>
          <w:sz w:val="36"/>
          <w:szCs w:val="36"/>
        </w:rPr>
        <w:t>Advanced Service Practicum</w:t>
      </w:r>
    </w:p>
    <w:p w14:paraId="2012A2EF" w14:textId="77777777" w:rsidR="0009088C" w:rsidRPr="0009088C" w:rsidRDefault="0009088C" w:rsidP="0009088C">
      <w:pPr>
        <w:numPr>
          <w:ilvl w:val="0"/>
          <w:numId w:val="4"/>
        </w:numPr>
        <w:rPr>
          <w:rFonts w:asciiTheme="majorBidi" w:hAnsiTheme="majorBidi" w:cstheme="majorBidi"/>
          <w:sz w:val="36"/>
          <w:szCs w:val="36"/>
        </w:rPr>
      </w:pPr>
      <w:r w:rsidRPr="0009088C">
        <w:rPr>
          <w:rFonts w:asciiTheme="majorBidi" w:hAnsiTheme="majorBidi" w:cstheme="majorBidi"/>
          <w:sz w:val="36"/>
          <w:szCs w:val="36"/>
        </w:rPr>
        <w:t>Capstone Paper and Oral Defense</w:t>
      </w:r>
    </w:p>
    <w:p w14:paraId="06017070" w14:textId="77777777" w:rsidR="0009088C" w:rsidRPr="0009088C" w:rsidRDefault="0009088C" w:rsidP="0009088C">
      <w:pPr>
        <w:numPr>
          <w:ilvl w:val="0"/>
          <w:numId w:val="4"/>
        </w:numPr>
        <w:rPr>
          <w:rFonts w:asciiTheme="majorBidi" w:hAnsiTheme="majorBidi" w:cstheme="majorBidi"/>
          <w:sz w:val="36"/>
          <w:szCs w:val="36"/>
        </w:rPr>
      </w:pPr>
      <w:r w:rsidRPr="0009088C">
        <w:rPr>
          <w:rFonts w:asciiTheme="majorBidi" w:hAnsiTheme="majorBidi" w:cstheme="majorBidi"/>
          <w:sz w:val="36"/>
          <w:szCs w:val="36"/>
        </w:rPr>
        <w:t>Participation and Peer Review</w:t>
      </w:r>
    </w:p>
    <w:p w14:paraId="0043225A"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b/>
          <w:bCs/>
          <w:sz w:val="36"/>
          <w:szCs w:val="36"/>
        </w:rPr>
        <w:t>Passing Standard:</w:t>
      </w:r>
      <w:r w:rsidRPr="0009088C">
        <w:rPr>
          <w:rFonts w:asciiTheme="majorBidi" w:hAnsiTheme="majorBidi" w:cstheme="majorBidi"/>
          <w:sz w:val="36"/>
          <w:szCs w:val="36"/>
        </w:rPr>
        <w:t xml:space="preserve"> Advanced professional competency across all assessed areas</w:t>
      </w:r>
    </w:p>
    <w:p w14:paraId="2A8989DF"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62AA05FB">
          <v:rect id="_x0000_i1170" style="width:0;height:1.5pt" o:hralign="center" o:hrstd="t" o:hr="t" fillcolor="#a0a0a0" stroked="f"/>
        </w:pict>
      </w:r>
    </w:p>
    <w:p w14:paraId="797B0C2C" w14:textId="77777777" w:rsidR="0009088C" w:rsidRPr="0009088C" w:rsidRDefault="0009088C" w:rsidP="0009088C">
      <w:pPr>
        <w:ind w:left="0" w:firstLine="0"/>
        <w:rPr>
          <w:rFonts w:asciiTheme="majorBidi" w:hAnsiTheme="majorBidi" w:cstheme="majorBidi"/>
          <w:b/>
          <w:bCs/>
          <w:sz w:val="36"/>
          <w:szCs w:val="36"/>
        </w:rPr>
      </w:pPr>
      <w:r w:rsidRPr="0009088C">
        <w:rPr>
          <w:rFonts w:asciiTheme="majorBidi" w:hAnsiTheme="majorBidi" w:cstheme="majorBidi"/>
          <w:b/>
          <w:bCs/>
          <w:sz w:val="36"/>
          <w:szCs w:val="36"/>
        </w:rPr>
        <w:t>Certification Outcome</w:t>
      </w:r>
    </w:p>
    <w:p w14:paraId="008EEC40"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 xml:space="preserve">Graduates receive the </w:t>
      </w:r>
      <w:r w:rsidRPr="0009088C">
        <w:rPr>
          <w:rFonts w:asciiTheme="majorBidi" w:hAnsiTheme="majorBidi" w:cstheme="majorBidi"/>
          <w:b/>
          <w:bCs/>
          <w:sz w:val="36"/>
          <w:szCs w:val="36"/>
        </w:rPr>
        <w:t>Level IV Sommelier Certificate</w:t>
      </w:r>
      <w:r w:rsidRPr="0009088C">
        <w:rPr>
          <w:rFonts w:asciiTheme="majorBidi" w:hAnsiTheme="majorBidi" w:cstheme="majorBidi"/>
          <w:sz w:val="36"/>
          <w:szCs w:val="36"/>
        </w:rPr>
        <w:t>, signifying advanced professional mastery in:</w:t>
      </w:r>
    </w:p>
    <w:p w14:paraId="0609F4E6" w14:textId="77777777" w:rsidR="0009088C" w:rsidRPr="0009088C" w:rsidRDefault="0009088C" w:rsidP="0009088C">
      <w:pPr>
        <w:numPr>
          <w:ilvl w:val="0"/>
          <w:numId w:val="5"/>
        </w:numPr>
        <w:rPr>
          <w:rFonts w:asciiTheme="majorBidi" w:hAnsiTheme="majorBidi" w:cstheme="majorBidi"/>
          <w:sz w:val="36"/>
          <w:szCs w:val="36"/>
        </w:rPr>
      </w:pPr>
      <w:r w:rsidRPr="0009088C">
        <w:rPr>
          <w:rFonts w:asciiTheme="majorBidi" w:hAnsiTheme="majorBidi" w:cstheme="majorBidi"/>
          <w:sz w:val="36"/>
          <w:szCs w:val="36"/>
        </w:rPr>
        <w:t>Sensory evaluation and blind tasting</w:t>
      </w:r>
    </w:p>
    <w:p w14:paraId="4704BE06" w14:textId="77777777" w:rsidR="0009088C" w:rsidRPr="0009088C" w:rsidRDefault="0009088C" w:rsidP="0009088C">
      <w:pPr>
        <w:numPr>
          <w:ilvl w:val="0"/>
          <w:numId w:val="5"/>
        </w:numPr>
        <w:rPr>
          <w:rFonts w:asciiTheme="majorBidi" w:hAnsiTheme="majorBidi" w:cstheme="majorBidi"/>
          <w:sz w:val="36"/>
          <w:szCs w:val="36"/>
        </w:rPr>
      </w:pPr>
      <w:r w:rsidRPr="0009088C">
        <w:rPr>
          <w:rFonts w:asciiTheme="majorBidi" w:hAnsiTheme="majorBidi" w:cstheme="majorBidi"/>
          <w:sz w:val="36"/>
          <w:szCs w:val="36"/>
        </w:rPr>
        <w:t>Global wine theory and economics</w:t>
      </w:r>
    </w:p>
    <w:p w14:paraId="1BFAC06F" w14:textId="77777777" w:rsidR="0009088C" w:rsidRPr="0009088C" w:rsidRDefault="0009088C" w:rsidP="0009088C">
      <w:pPr>
        <w:numPr>
          <w:ilvl w:val="0"/>
          <w:numId w:val="5"/>
        </w:numPr>
        <w:rPr>
          <w:rFonts w:asciiTheme="majorBidi" w:hAnsiTheme="majorBidi" w:cstheme="majorBidi"/>
          <w:sz w:val="36"/>
          <w:szCs w:val="36"/>
        </w:rPr>
      </w:pPr>
      <w:r w:rsidRPr="0009088C">
        <w:rPr>
          <w:rFonts w:asciiTheme="majorBidi" w:hAnsiTheme="majorBidi" w:cstheme="majorBidi"/>
          <w:sz w:val="36"/>
          <w:szCs w:val="36"/>
        </w:rPr>
        <w:t>High-level service and hospitality leadership</w:t>
      </w:r>
    </w:p>
    <w:p w14:paraId="7DB52B27" w14:textId="77777777" w:rsidR="0009088C" w:rsidRPr="0009088C" w:rsidRDefault="0009088C" w:rsidP="0009088C">
      <w:pPr>
        <w:numPr>
          <w:ilvl w:val="0"/>
          <w:numId w:val="5"/>
        </w:numPr>
        <w:rPr>
          <w:rFonts w:asciiTheme="majorBidi" w:hAnsiTheme="majorBidi" w:cstheme="majorBidi"/>
          <w:sz w:val="36"/>
          <w:szCs w:val="36"/>
        </w:rPr>
      </w:pPr>
      <w:r w:rsidRPr="0009088C">
        <w:rPr>
          <w:rFonts w:asciiTheme="majorBidi" w:hAnsiTheme="majorBidi" w:cstheme="majorBidi"/>
          <w:sz w:val="36"/>
          <w:szCs w:val="36"/>
        </w:rPr>
        <w:t>Research, education, and program design</w:t>
      </w:r>
    </w:p>
    <w:p w14:paraId="2A45664A"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t xml:space="preserve">This level positions graduates for senior industry roles and continued advancement toward credentials such as </w:t>
      </w:r>
      <w:r w:rsidRPr="0009088C">
        <w:rPr>
          <w:rFonts w:asciiTheme="majorBidi" w:hAnsiTheme="majorBidi" w:cstheme="majorBidi"/>
          <w:b/>
          <w:bCs/>
          <w:sz w:val="36"/>
          <w:szCs w:val="36"/>
        </w:rPr>
        <w:t>CMS Advanced Sommelier</w:t>
      </w:r>
      <w:r w:rsidRPr="0009088C">
        <w:rPr>
          <w:rFonts w:asciiTheme="majorBidi" w:hAnsiTheme="majorBidi" w:cstheme="majorBidi"/>
          <w:sz w:val="36"/>
          <w:szCs w:val="36"/>
        </w:rPr>
        <w:t xml:space="preserve">, </w:t>
      </w:r>
      <w:r w:rsidRPr="0009088C">
        <w:rPr>
          <w:rFonts w:asciiTheme="majorBidi" w:hAnsiTheme="majorBidi" w:cstheme="majorBidi"/>
          <w:b/>
          <w:bCs/>
          <w:sz w:val="36"/>
          <w:szCs w:val="36"/>
        </w:rPr>
        <w:t>WSET Diploma</w:t>
      </w:r>
      <w:r w:rsidRPr="0009088C">
        <w:rPr>
          <w:rFonts w:asciiTheme="majorBidi" w:hAnsiTheme="majorBidi" w:cstheme="majorBidi"/>
          <w:sz w:val="36"/>
          <w:szCs w:val="36"/>
        </w:rPr>
        <w:t>, or wine education leadership pathways.</w:t>
      </w:r>
    </w:p>
    <w:p w14:paraId="4371E6BF" w14:textId="77777777" w:rsidR="0009088C" w:rsidRPr="0009088C" w:rsidRDefault="0009088C" w:rsidP="0009088C">
      <w:pPr>
        <w:ind w:left="0" w:firstLine="0"/>
        <w:rPr>
          <w:rFonts w:asciiTheme="majorBidi" w:hAnsiTheme="majorBidi" w:cstheme="majorBidi"/>
          <w:sz w:val="36"/>
          <w:szCs w:val="36"/>
        </w:rPr>
      </w:pPr>
      <w:r w:rsidRPr="0009088C">
        <w:rPr>
          <w:rFonts w:asciiTheme="majorBidi" w:hAnsiTheme="majorBidi" w:cstheme="majorBidi"/>
          <w:sz w:val="36"/>
          <w:szCs w:val="36"/>
        </w:rPr>
        <w:pict w14:anchorId="2FB462B3">
          <v:rect id="_x0000_i1171" style="width:0;height:1.5pt" o:hralign="center" o:hrstd="t" o:hr="t" fillcolor="#a0a0a0" stroked="f"/>
        </w:pict>
      </w:r>
    </w:p>
    <w:sectPr w:rsidR="0009088C" w:rsidRPr="00090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528E"/>
    <w:multiLevelType w:val="multilevel"/>
    <w:tmpl w:val="C812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860DD"/>
    <w:multiLevelType w:val="multilevel"/>
    <w:tmpl w:val="8316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D2549"/>
    <w:multiLevelType w:val="multilevel"/>
    <w:tmpl w:val="1932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D6870"/>
    <w:multiLevelType w:val="multilevel"/>
    <w:tmpl w:val="B8E6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B64BF"/>
    <w:multiLevelType w:val="multilevel"/>
    <w:tmpl w:val="816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C1D08"/>
    <w:multiLevelType w:val="multilevel"/>
    <w:tmpl w:val="F4FA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324825">
    <w:abstractNumId w:val="0"/>
  </w:num>
  <w:num w:numId="2" w16cid:durableId="773325953">
    <w:abstractNumId w:val="3"/>
  </w:num>
  <w:num w:numId="3" w16cid:durableId="1704481625">
    <w:abstractNumId w:val="5"/>
  </w:num>
  <w:num w:numId="4" w16cid:durableId="607660085">
    <w:abstractNumId w:val="4"/>
  </w:num>
  <w:num w:numId="5" w16cid:durableId="2146003349">
    <w:abstractNumId w:val="2"/>
  </w:num>
  <w:num w:numId="6" w16cid:durableId="192205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8C"/>
    <w:rsid w:val="0009088C"/>
    <w:rsid w:val="00143158"/>
    <w:rsid w:val="004C11CC"/>
    <w:rsid w:val="008D3D73"/>
    <w:rsid w:val="00BC54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94B6"/>
  <w15:chartTrackingRefBased/>
  <w15:docId w15:val="{1A6A468F-F328-44EB-A846-EE84A3CC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8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8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8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88C"/>
    <w:rPr>
      <w:rFonts w:eastAsiaTheme="majorEastAsia" w:cstheme="majorBidi"/>
      <w:color w:val="272727" w:themeColor="text1" w:themeTint="D8"/>
    </w:rPr>
  </w:style>
  <w:style w:type="paragraph" w:styleId="Title">
    <w:name w:val="Title"/>
    <w:basedOn w:val="Normal"/>
    <w:next w:val="Normal"/>
    <w:link w:val="TitleChar"/>
    <w:uiPriority w:val="10"/>
    <w:qFormat/>
    <w:rsid w:val="0009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88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88C"/>
    <w:pPr>
      <w:spacing w:before="160"/>
      <w:jc w:val="center"/>
    </w:pPr>
    <w:rPr>
      <w:i/>
      <w:iCs/>
      <w:color w:val="404040" w:themeColor="text1" w:themeTint="BF"/>
    </w:rPr>
  </w:style>
  <w:style w:type="character" w:customStyle="1" w:styleId="QuoteChar">
    <w:name w:val="Quote Char"/>
    <w:basedOn w:val="DefaultParagraphFont"/>
    <w:link w:val="Quote"/>
    <w:uiPriority w:val="29"/>
    <w:rsid w:val="0009088C"/>
    <w:rPr>
      <w:i/>
      <w:iCs/>
      <w:color w:val="404040" w:themeColor="text1" w:themeTint="BF"/>
    </w:rPr>
  </w:style>
  <w:style w:type="paragraph" w:styleId="ListParagraph">
    <w:name w:val="List Paragraph"/>
    <w:basedOn w:val="Normal"/>
    <w:uiPriority w:val="34"/>
    <w:qFormat/>
    <w:rsid w:val="0009088C"/>
    <w:pPr>
      <w:ind w:left="720"/>
      <w:contextualSpacing/>
    </w:pPr>
  </w:style>
  <w:style w:type="character" w:styleId="IntenseEmphasis">
    <w:name w:val="Intense Emphasis"/>
    <w:basedOn w:val="DefaultParagraphFont"/>
    <w:uiPriority w:val="21"/>
    <w:qFormat/>
    <w:rsid w:val="0009088C"/>
    <w:rPr>
      <w:i/>
      <w:iCs/>
      <w:color w:val="2F5496" w:themeColor="accent1" w:themeShade="BF"/>
    </w:rPr>
  </w:style>
  <w:style w:type="paragraph" w:styleId="IntenseQuote">
    <w:name w:val="Intense Quote"/>
    <w:basedOn w:val="Normal"/>
    <w:next w:val="Normal"/>
    <w:link w:val="IntenseQuoteChar"/>
    <w:uiPriority w:val="30"/>
    <w:qFormat/>
    <w:rsid w:val="00090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88C"/>
    <w:rPr>
      <w:i/>
      <w:iCs/>
      <w:color w:val="2F5496" w:themeColor="accent1" w:themeShade="BF"/>
    </w:rPr>
  </w:style>
  <w:style w:type="character" w:styleId="IntenseReference">
    <w:name w:val="Intense Reference"/>
    <w:basedOn w:val="DefaultParagraphFont"/>
    <w:uiPriority w:val="32"/>
    <w:qFormat/>
    <w:rsid w:val="00090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2026-01-17T17:21:00Z</dcterms:created>
  <dcterms:modified xsi:type="dcterms:W3CDTF">2026-01-17T17:22:00Z</dcterms:modified>
</cp:coreProperties>
</file>