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701C"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Level II Sommelier Certificate</w:t>
      </w:r>
    </w:p>
    <w:p w14:paraId="0582A2FD"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Recommended Weekly Tasting List</w:t>
      </w:r>
    </w:p>
    <w:p w14:paraId="7FB37BF4"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15-Week Semester Format (Intermediate / CMS-Aligned)</w:t>
      </w:r>
    </w:p>
    <w:p w14:paraId="23A73AC0"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Tasting Format:</w:t>
      </w:r>
      <w:r w:rsidRPr="008746A5">
        <w:rPr>
          <w:rFonts w:asciiTheme="majorBidi" w:hAnsiTheme="majorBidi" w:cstheme="majorBidi"/>
          <w:sz w:val="36"/>
          <w:szCs w:val="36"/>
        </w:rPr>
        <w:t xml:space="preserve"> </w:t>
      </w:r>
      <w:proofErr w:type="gramStart"/>
      <w:r w:rsidRPr="008746A5">
        <w:rPr>
          <w:rFonts w:asciiTheme="majorBidi" w:hAnsiTheme="majorBidi" w:cstheme="majorBidi"/>
          <w:sz w:val="36"/>
          <w:szCs w:val="36"/>
        </w:rPr>
        <w:t>Typically</w:t>
      </w:r>
      <w:proofErr w:type="gramEnd"/>
      <w:r w:rsidRPr="008746A5">
        <w:rPr>
          <w:rFonts w:asciiTheme="majorBidi" w:hAnsiTheme="majorBidi" w:cstheme="majorBidi"/>
          <w:sz w:val="36"/>
          <w:szCs w:val="36"/>
        </w:rPr>
        <w:t xml:space="preserve"> 2–3 wines per class</w:t>
      </w:r>
      <w:r w:rsidRPr="008746A5">
        <w:rPr>
          <w:rFonts w:asciiTheme="majorBidi" w:hAnsiTheme="majorBidi" w:cstheme="majorBidi"/>
          <w:sz w:val="36"/>
          <w:szCs w:val="36"/>
        </w:rPr>
        <w:br/>
      </w:r>
      <w:r w:rsidRPr="008746A5">
        <w:rPr>
          <w:rFonts w:asciiTheme="majorBidi" w:hAnsiTheme="majorBidi" w:cstheme="majorBidi"/>
          <w:b/>
          <w:bCs/>
          <w:sz w:val="36"/>
          <w:szCs w:val="36"/>
        </w:rPr>
        <w:t>Total Wines:</w:t>
      </w:r>
      <w:r w:rsidRPr="008746A5">
        <w:rPr>
          <w:rFonts w:asciiTheme="majorBidi" w:hAnsiTheme="majorBidi" w:cstheme="majorBidi"/>
          <w:sz w:val="36"/>
          <w:szCs w:val="36"/>
        </w:rPr>
        <w:t xml:space="preserve"> Approximately 40–42 for the semester</w:t>
      </w:r>
      <w:r w:rsidRPr="008746A5">
        <w:rPr>
          <w:rFonts w:asciiTheme="majorBidi" w:hAnsiTheme="majorBidi" w:cstheme="majorBidi"/>
          <w:sz w:val="36"/>
          <w:szCs w:val="36"/>
        </w:rPr>
        <w:br/>
      </w:r>
      <w:r w:rsidRPr="008746A5">
        <w:rPr>
          <w:rFonts w:asciiTheme="majorBidi" w:hAnsiTheme="majorBidi" w:cstheme="majorBidi"/>
          <w:b/>
          <w:bCs/>
          <w:sz w:val="36"/>
          <w:szCs w:val="36"/>
        </w:rPr>
        <w:t>Purpose:</w:t>
      </w:r>
      <w:r w:rsidRPr="008746A5">
        <w:rPr>
          <w:rFonts w:asciiTheme="majorBidi" w:hAnsiTheme="majorBidi" w:cstheme="majorBidi"/>
          <w:sz w:val="36"/>
          <w:szCs w:val="36"/>
        </w:rPr>
        <w:t xml:space="preserve"> Strengthen structured blind tasting skills, deepen regional literacy, and reinforce classic benchmarks appropriate to intermediate professional study.</w:t>
      </w:r>
    </w:p>
    <w:p w14:paraId="61859C02"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i/>
          <w:iCs/>
          <w:sz w:val="36"/>
          <w:szCs w:val="36"/>
        </w:rPr>
        <w:t>The tasting list emphasizes classic benchmarks. Higher-cost or prestige wines may be substituted with typicity-appropriate alternatives to maintain budget discipline without compromising instructional outcomes.</w:t>
      </w:r>
    </w:p>
    <w:p w14:paraId="5DBEE4C6"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1A247A0C">
          <v:rect id="_x0000_i1229" style="width:0;height:1.5pt" o:hralign="center" o:hrstd="t" o:hr="t" fillcolor="#a0a0a0" stroked="f"/>
        </w:pict>
      </w:r>
    </w:p>
    <w:p w14:paraId="7F5B56EB"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1 – Calibration and Structural Review</w:t>
      </w:r>
    </w:p>
    <w:p w14:paraId="6E227126" w14:textId="77777777" w:rsidR="008746A5" w:rsidRPr="008746A5" w:rsidRDefault="008746A5" w:rsidP="008746A5">
      <w:pPr>
        <w:numPr>
          <w:ilvl w:val="0"/>
          <w:numId w:val="17"/>
        </w:numPr>
        <w:rPr>
          <w:rFonts w:asciiTheme="majorBidi" w:hAnsiTheme="majorBidi" w:cstheme="majorBidi"/>
          <w:sz w:val="36"/>
          <w:szCs w:val="36"/>
        </w:rPr>
      </w:pPr>
      <w:r w:rsidRPr="008746A5">
        <w:rPr>
          <w:rFonts w:asciiTheme="majorBidi" w:hAnsiTheme="majorBidi" w:cstheme="majorBidi"/>
          <w:sz w:val="36"/>
          <w:szCs w:val="36"/>
        </w:rPr>
        <w:t>Classic dry Riesling</w:t>
      </w:r>
    </w:p>
    <w:p w14:paraId="3A5BC1B5" w14:textId="77777777" w:rsidR="008746A5" w:rsidRPr="008746A5" w:rsidRDefault="008746A5" w:rsidP="008746A5">
      <w:pPr>
        <w:numPr>
          <w:ilvl w:val="0"/>
          <w:numId w:val="17"/>
        </w:numPr>
        <w:rPr>
          <w:rFonts w:asciiTheme="majorBidi" w:hAnsiTheme="majorBidi" w:cstheme="majorBidi"/>
          <w:sz w:val="36"/>
          <w:szCs w:val="36"/>
        </w:rPr>
      </w:pPr>
      <w:r w:rsidRPr="008746A5">
        <w:rPr>
          <w:rFonts w:asciiTheme="majorBidi" w:hAnsiTheme="majorBidi" w:cstheme="majorBidi"/>
          <w:sz w:val="36"/>
          <w:szCs w:val="36"/>
        </w:rPr>
        <w:t>Medium-bodied red benchmark (Merlot or Tempranillo)</w:t>
      </w:r>
    </w:p>
    <w:p w14:paraId="6D22FCD1"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Sensory calibration, balance, and tasting grid discipline.</w:t>
      </w:r>
    </w:p>
    <w:p w14:paraId="7249C360"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046AE2B3">
          <v:rect id="_x0000_i1230" style="width:0;height:1.5pt" o:hralign="center" o:hrstd="t" o:hr="t" fillcolor="#a0a0a0" stroked="f"/>
        </w:pict>
      </w:r>
    </w:p>
    <w:p w14:paraId="12D937FB"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2 – France I: Bordeaux and Burgundy</w:t>
      </w:r>
    </w:p>
    <w:p w14:paraId="324566A2" w14:textId="77777777" w:rsidR="008746A5" w:rsidRPr="008746A5" w:rsidRDefault="008746A5" w:rsidP="008746A5">
      <w:pPr>
        <w:numPr>
          <w:ilvl w:val="0"/>
          <w:numId w:val="18"/>
        </w:numPr>
        <w:rPr>
          <w:rFonts w:asciiTheme="majorBidi" w:hAnsiTheme="majorBidi" w:cstheme="majorBidi"/>
          <w:sz w:val="36"/>
          <w:szCs w:val="36"/>
        </w:rPr>
      </w:pPr>
      <w:r w:rsidRPr="008746A5">
        <w:rPr>
          <w:rFonts w:asciiTheme="majorBidi" w:hAnsiTheme="majorBidi" w:cstheme="majorBidi"/>
          <w:sz w:val="36"/>
          <w:szCs w:val="36"/>
        </w:rPr>
        <w:t>Bordeaux Supérieur (Cabernet-dominant, Left Bank style)</w:t>
      </w:r>
    </w:p>
    <w:p w14:paraId="2B7F3583" w14:textId="77777777" w:rsidR="008746A5" w:rsidRPr="008746A5" w:rsidRDefault="008746A5" w:rsidP="008746A5">
      <w:pPr>
        <w:numPr>
          <w:ilvl w:val="0"/>
          <w:numId w:val="18"/>
        </w:numPr>
        <w:rPr>
          <w:rFonts w:asciiTheme="majorBidi" w:hAnsiTheme="majorBidi" w:cstheme="majorBidi"/>
          <w:sz w:val="36"/>
          <w:szCs w:val="36"/>
        </w:rPr>
      </w:pPr>
      <w:r w:rsidRPr="008746A5">
        <w:rPr>
          <w:rFonts w:asciiTheme="majorBidi" w:hAnsiTheme="majorBidi" w:cstheme="majorBidi"/>
          <w:sz w:val="36"/>
          <w:szCs w:val="36"/>
        </w:rPr>
        <w:t>Bordeaux Supérieur or Right Bank Merlot blend</w:t>
      </w:r>
    </w:p>
    <w:p w14:paraId="4A34A234" w14:textId="77777777" w:rsidR="008746A5" w:rsidRPr="008746A5" w:rsidRDefault="008746A5" w:rsidP="008746A5">
      <w:pPr>
        <w:numPr>
          <w:ilvl w:val="0"/>
          <w:numId w:val="18"/>
        </w:numPr>
        <w:rPr>
          <w:rFonts w:asciiTheme="majorBidi" w:hAnsiTheme="majorBidi" w:cstheme="majorBidi"/>
          <w:sz w:val="36"/>
          <w:szCs w:val="36"/>
        </w:rPr>
      </w:pPr>
      <w:r w:rsidRPr="008746A5">
        <w:rPr>
          <w:rFonts w:asciiTheme="majorBidi" w:hAnsiTheme="majorBidi" w:cstheme="majorBidi"/>
          <w:sz w:val="36"/>
          <w:szCs w:val="36"/>
        </w:rPr>
        <w:t xml:space="preserve">White Burgundy (Mâcon-Villages or Côte </w:t>
      </w:r>
      <w:proofErr w:type="spellStart"/>
      <w:r w:rsidRPr="008746A5">
        <w:rPr>
          <w:rFonts w:asciiTheme="majorBidi" w:hAnsiTheme="majorBidi" w:cstheme="majorBidi"/>
          <w:sz w:val="36"/>
          <w:szCs w:val="36"/>
        </w:rPr>
        <w:t>Chalonnaise</w:t>
      </w:r>
      <w:proofErr w:type="spellEnd"/>
      <w:r w:rsidRPr="008746A5">
        <w:rPr>
          <w:rFonts w:asciiTheme="majorBidi" w:hAnsiTheme="majorBidi" w:cstheme="majorBidi"/>
          <w:sz w:val="36"/>
          <w:szCs w:val="36"/>
        </w:rPr>
        <w:t>)</w:t>
      </w:r>
    </w:p>
    <w:p w14:paraId="603F86E5"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Blending, structure, and regional contrast.</w:t>
      </w:r>
    </w:p>
    <w:p w14:paraId="0026EF83"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13879352">
          <v:rect id="_x0000_i1231" style="width:0;height:1.5pt" o:hralign="center" o:hrstd="t" o:hr="t" fillcolor="#a0a0a0" stroked="f"/>
        </w:pict>
      </w:r>
    </w:p>
    <w:p w14:paraId="70BF32C7"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3 – France II: Rhône Valley and Loire Valley</w:t>
      </w:r>
    </w:p>
    <w:p w14:paraId="720BF35A" w14:textId="77777777" w:rsidR="008746A5" w:rsidRPr="008746A5" w:rsidRDefault="008746A5" w:rsidP="008746A5">
      <w:pPr>
        <w:numPr>
          <w:ilvl w:val="0"/>
          <w:numId w:val="19"/>
        </w:numPr>
        <w:rPr>
          <w:rFonts w:asciiTheme="majorBidi" w:hAnsiTheme="majorBidi" w:cstheme="majorBidi"/>
          <w:sz w:val="36"/>
          <w:szCs w:val="36"/>
        </w:rPr>
      </w:pPr>
      <w:r w:rsidRPr="008746A5">
        <w:rPr>
          <w:rFonts w:asciiTheme="majorBidi" w:hAnsiTheme="majorBidi" w:cstheme="majorBidi"/>
          <w:sz w:val="36"/>
          <w:szCs w:val="36"/>
        </w:rPr>
        <w:t>Northern Rhône Syrah (Crozes-Hermitage or Saint-Joseph)</w:t>
      </w:r>
    </w:p>
    <w:p w14:paraId="4F83C40C" w14:textId="77777777" w:rsidR="008746A5" w:rsidRPr="008746A5" w:rsidRDefault="008746A5" w:rsidP="008746A5">
      <w:pPr>
        <w:numPr>
          <w:ilvl w:val="0"/>
          <w:numId w:val="19"/>
        </w:numPr>
        <w:rPr>
          <w:rFonts w:asciiTheme="majorBidi" w:hAnsiTheme="majorBidi" w:cstheme="majorBidi"/>
          <w:sz w:val="36"/>
          <w:szCs w:val="36"/>
        </w:rPr>
      </w:pPr>
      <w:r w:rsidRPr="008746A5">
        <w:rPr>
          <w:rFonts w:asciiTheme="majorBidi" w:hAnsiTheme="majorBidi" w:cstheme="majorBidi"/>
          <w:sz w:val="36"/>
          <w:szCs w:val="36"/>
        </w:rPr>
        <w:t>Southern Rhône GSM blend</w:t>
      </w:r>
    </w:p>
    <w:p w14:paraId="0D04E00C" w14:textId="77777777" w:rsidR="008746A5" w:rsidRPr="008746A5" w:rsidRDefault="008746A5" w:rsidP="008746A5">
      <w:pPr>
        <w:numPr>
          <w:ilvl w:val="0"/>
          <w:numId w:val="19"/>
        </w:numPr>
        <w:rPr>
          <w:rFonts w:asciiTheme="majorBidi" w:hAnsiTheme="majorBidi" w:cstheme="majorBidi"/>
          <w:sz w:val="36"/>
          <w:szCs w:val="36"/>
        </w:rPr>
      </w:pPr>
      <w:r w:rsidRPr="008746A5">
        <w:rPr>
          <w:rFonts w:asciiTheme="majorBidi" w:hAnsiTheme="majorBidi" w:cstheme="majorBidi"/>
          <w:sz w:val="36"/>
          <w:szCs w:val="36"/>
        </w:rPr>
        <w:t>Loire Valley Chenin Blanc (Vouvray Sec or Demi-Sec)</w:t>
      </w:r>
    </w:p>
    <w:p w14:paraId="0F13DE1D"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Climate influence, texture, and stylistic range.</w:t>
      </w:r>
    </w:p>
    <w:p w14:paraId="083CC964"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532B5D4C">
          <v:rect id="_x0000_i1232" style="width:0;height:1.5pt" o:hralign="center" o:hrstd="t" o:hr="t" fillcolor="#a0a0a0" stroked="f"/>
        </w:pict>
      </w:r>
    </w:p>
    <w:p w14:paraId="1F06C66A"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4 – Italy I: Northern and Central Italy</w:t>
      </w:r>
    </w:p>
    <w:p w14:paraId="61F6961D" w14:textId="77777777" w:rsidR="008746A5" w:rsidRPr="008746A5" w:rsidRDefault="008746A5" w:rsidP="008746A5">
      <w:pPr>
        <w:numPr>
          <w:ilvl w:val="0"/>
          <w:numId w:val="20"/>
        </w:numPr>
        <w:rPr>
          <w:rFonts w:asciiTheme="majorBidi" w:hAnsiTheme="majorBidi" w:cstheme="majorBidi"/>
          <w:sz w:val="36"/>
          <w:szCs w:val="36"/>
        </w:rPr>
      </w:pPr>
      <w:r w:rsidRPr="008746A5">
        <w:rPr>
          <w:rFonts w:asciiTheme="majorBidi" w:hAnsiTheme="majorBidi" w:cstheme="majorBidi"/>
          <w:sz w:val="36"/>
          <w:szCs w:val="36"/>
        </w:rPr>
        <w:t>Barolo or Barbaresco (entry-level benchmark)</w:t>
      </w:r>
    </w:p>
    <w:p w14:paraId="4BE9CCEC" w14:textId="77777777" w:rsidR="008746A5" w:rsidRPr="008746A5" w:rsidRDefault="008746A5" w:rsidP="008746A5">
      <w:pPr>
        <w:numPr>
          <w:ilvl w:val="0"/>
          <w:numId w:val="20"/>
        </w:numPr>
        <w:rPr>
          <w:rFonts w:asciiTheme="majorBidi" w:hAnsiTheme="majorBidi" w:cstheme="majorBidi"/>
          <w:sz w:val="36"/>
          <w:szCs w:val="36"/>
        </w:rPr>
      </w:pPr>
      <w:r w:rsidRPr="008746A5">
        <w:rPr>
          <w:rFonts w:asciiTheme="majorBidi" w:hAnsiTheme="majorBidi" w:cstheme="majorBidi"/>
          <w:sz w:val="36"/>
          <w:szCs w:val="36"/>
        </w:rPr>
        <w:t>Chianti Classico Riserva</w:t>
      </w:r>
    </w:p>
    <w:p w14:paraId="63675346" w14:textId="77777777" w:rsidR="008746A5" w:rsidRPr="008746A5" w:rsidRDefault="008746A5" w:rsidP="008746A5">
      <w:pPr>
        <w:numPr>
          <w:ilvl w:val="0"/>
          <w:numId w:val="20"/>
        </w:numPr>
        <w:rPr>
          <w:rFonts w:asciiTheme="majorBidi" w:hAnsiTheme="majorBidi" w:cstheme="majorBidi"/>
          <w:sz w:val="36"/>
          <w:szCs w:val="36"/>
        </w:rPr>
      </w:pPr>
      <w:r w:rsidRPr="008746A5">
        <w:rPr>
          <w:rFonts w:asciiTheme="majorBidi" w:hAnsiTheme="majorBidi" w:cstheme="majorBidi"/>
          <w:sz w:val="36"/>
          <w:szCs w:val="36"/>
        </w:rPr>
        <w:t>Soave Classico</w:t>
      </w:r>
    </w:p>
    <w:p w14:paraId="0DF28098"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Acidity, tannin structure, and food compatibility.</w:t>
      </w:r>
    </w:p>
    <w:p w14:paraId="2B3C0ABB"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41A70267">
          <v:rect id="_x0000_i1233" style="width:0;height:1.5pt" o:hralign="center" o:hrstd="t" o:hr="t" fillcolor="#a0a0a0" stroked="f"/>
        </w:pict>
      </w:r>
    </w:p>
    <w:p w14:paraId="397474A9"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5 – Italy II: Southern Italy and Islands</w:t>
      </w:r>
    </w:p>
    <w:p w14:paraId="43AC513C" w14:textId="77777777" w:rsidR="008746A5" w:rsidRPr="008746A5" w:rsidRDefault="008746A5" w:rsidP="008746A5">
      <w:pPr>
        <w:numPr>
          <w:ilvl w:val="0"/>
          <w:numId w:val="21"/>
        </w:numPr>
        <w:rPr>
          <w:rFonts w:asciiTheme="majorBidi" w:hAnsiTheme="majorBidi" w:cstheme="majorBidi"/>
          <w:sz w:val="36"/>
          <w:szCs w:val="36"/>
        </w:rPr>
      </w:pPr>
      <w:r w:rsidRPr="008746A5">
        <w:rPr>
          <w:rFonts w:asciiTheme="majorBidi" w:hAnsiTheme="majorBidi" w:cstheme="majorBidi"/>
          <w:sz w:val="36"/>
          <w:szCs w:val="36"/>
        </w:rPr>
        <w:t>Etna Rosso or Aglianico del Vulture</w:t>
      </w:r>
    </w:p>
    <w:p w14:paraId="44B53C78" w14:textId="77777777" w:rsidR="008746A5" w:rsidRPr="008746A5" w:rsidRDefault="008746A5" w:rsidP="008746A5">
      <w:pPr>
        <w:numPr>
          <w:ilvl w:val="0"/>
          <w:numId w:val="21"/>
        </w:numPr>
        <w:rPr>
          <w:rFonts w:asciiTheme="majorBidi" w:hAnsiTheme="majorBidi" w:cstheme="majorBidi"/>
          <w:sz w:val="36"/>
          <w:szCs w:val="36"/>
        </w:rPr>
      </w:pPr>
      <w:r w:rsidRPr="008746A5">
        <w:rPr>
          <w:rFonts w:asciiTheme="majorBidi" w:hAnsiTheme="majorBidi" w:cstheme="majorBidi"/>
          <w:sz w:val="36"/>
          <w:szCs w:val="36"/>
        </w:rPr>
        <w:t>Nero d’Avola</w:t>
      </w:r>
    </w:p>
    <w:p w14:paraId="77DDA0FB" w14:textId="77777777" w:rsidR="008746A5" w:rsidRPr="008746A5" w:rsidRDefault="008746A5" w:rsidP="008746A5">
      <w:pPr>
        <w:numPr>
          <w:ilvl w:val="0"/>
          <w:numId w:val="21"/>
        </w:numPr>
        <w:rPr>
          <w:rFonts w:asciiTheme="majorBidi" w:hAnsiTheme="majorBidi" w:cstheme="majorBidi"/>
          <w:sz w:val="36"/>
          <w:szCs w:val="36"/>
        </w:rPr>
      </w:pPr>
      <w:r w:rsidRPr="008746A5">
        <w:rPr>
          <w:rFonts w:asciiTheme="majorBidi" w:hAnsiTheme="majorBidi" w:cstheme="majorBidi"/>
          <w:sz w:val="36"/>
          <w:szCs w:val="36"/>
        </w:rPr>
        <w:t>Fiano di Avellino or Greco di Tufo</w:t>
      </w:r>
    </w:p>
    <w:p w14:paraId="0C75B1C7"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Volcanic soils and Mediterranean expression.</w:t>
      </w:r>
    </w:p>
    <w:p w14:paraId="1A31C4AF"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3F14026F">
          <v:rect id="_x0000_i1234" style="width:0;height:1.5pt" o:hralign="center" o:hrstd="t" o:hr="t" fillcolor="#a0a0a0" stroked="f"/>
        </w:pict>
      </w:r>
    </w:p>
    <w:p w14:paraId="0253398E"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6 – Veneto and Ripeness Styles</w:t>
      </w:r>
    </w:p>
    <w:p w14:paraId="4DD3B71B" w14:textId="77777777" w:rsidR="008746A5" w:rsidRPr="008746A5" w:rsidRDefault="008746A5" w:rsidP="008746A5">
      <w:pPr>
        <w:numPr>
          <w:ilvl w:val="0"/>
          <w:numId w:val="22"/>
        </w:numPr>
        <w:rPr>
          <w:rFonts w:asciiTheme="majorBidi" w:hAnsiTheme="majorBidi" w:cstheme="majorBidi"/>
          <w:sz w:val="36"/>
          <w:szCs w:val="36"/>
        </w:rPr>
      </w:pPr>
      <w:r w:rsidRPr="008746A5">
        <w:rPr>
          <w:rFonts w:asciiTheme="majorBidi" w:hAnsiTheme="majorBidi" w:cstheme="majorBidi"/>
          <w:sz w:val="36"/>
          <w:szCs w:val="36"/>
        </w:rPr>
        <w:t>Valpolicella Ripasso</w:t>
      </w:r>
    </w:p>
    <w:p w14:paraId="4E245B54" w14:textId="77777777" w:rsidR="008746A5" w:rsidRPr="008746A5" w:rsidRDefault="008746A5" w:rsidP="008746A5">
      <w:pPr>
        <w:numPr>
          <w:ilvl w:val="0"/>
          <w:numId w:val="22"/>
        </w:numPr>
        <w:rPr>
          <w:rFonts w:asciiTheme="majorBidi" w:hAnsiTheme="majorBidi" w:cstheme="majorBidi"/>
          <w:sz w:val="36"/>
          <w:szCs w:val="36"/>
        </w:rPr>
      </w:pPr>
      <w:r w:rsidRPr="008746A5">
        <w:rPr>
          <w:rFonts w:asciiTheme="majorBidi" w:hAnsiTheme="majorBidi" w:cstheme="majorBidi"/>
          <w:sz w:val="36"/>
          <w:szCs w:val="36"/>
        </w:rPr>
        <w:t>Pinot Grigio (Alto Adige or Friuli)</w:t>
      </w:r>
    </w:p>
    <w:p w14:paraId="63D09229" w14:textId="77777777" w:rsidR="008746A5" w:rsidRPr="008746A5" w:rsidRDefault="008746A5" w:rsidP="008746A5">
      <w:pPr>
        <w:numPr>
          <w:ilvl w:val="0"/>
          <w:numId w:val="22"/>
        </w:numPr>
        <w:rPr>
          <w:rFonts w:asciiTheme="majorBidi" w:hAnsiTheme="majorBidi" w:cstheme="majorBidi"/>
          <w:sz w:val="36"/>
          <w:szCs w:val="36"/>
        </w:rPr>
      </w:pPr>
      <w:r w:rsidRPr="008746A5">
        <w:rPr>
          <w:rFonts w:asciiTheme="majorBidi" w:hAnsiTheme="majorBidi" w:cstheme="majorBidi"/>
          <w:sz w:val="36"/>
          <w:szCs w:val="36"/>
        </w:rPr>
        <w:t xml:space="preserve">Amarone </w:t>
      </w:r>
      <w:proofErr w:type="spellStart"/>
      <w:r w:rsidRPr="008746A5">
        <w:rPr>
          <w:rFonts w:asciiTheme="majorBidi" w:hAnsiTheme="majorBidi" w:cstheme="majorBidi"/>
          <w:sz w:val="36"/>
          <w:szCs w:val="36"/>
        </w:rPr>
        <w:t>della</w:t>
      </w:r>
      <w:proofErr w:type="spellEnd"/>
      <w:r w:rsidRPr="008746A5">
        <w:rPr>
          <w:rFonts w:asciiTheme="majorBidi" w:hAnsiTheme="majorBidi" w:cstheme="majorBidi"/>
          <w:sz w:val="36"/>
          <w:szCs w:val="36"/>
        </w:rPr>
        <w:t xml:space="preserve"> Valpolicella </w:t>
      </w:r>
      <w:r w:rsidRPr="008746A5">
        <w:rPr>
          <w:rFonts w:asciiTheme="majorBidi" w:hAnsiTheme="majorBidi" w:cstheme="majorBidi"/>
          <w:i/>
          <w:iCs/>
          <w:sz w:val="36"/>
          <w:szCs w:val="36"/>
        </w:rPr>
        <w:t>(optional comparative benchmark)</w:t>
      </w:r>
    </w:p>
    <w:p w14:paraId="53841745"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Ripeness, alcohol, and winemaking choices.</w:t>
      </w:r>
    </w:p>
    <w:p w14:paraId="0D7D8CE2"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7DAE2E11">
          <v:rect id="_x0000_i1235" style="width:0;height:1.5pt" o:hralign="center" o:hrstd="t" o:hr="t" fillcolor="#a0a0a0" stroked="f"/>
        </w:pict>
      </w:r>
    </w:p>
    <w:p w14:paraId="24927346"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7 – Spain and Portugal</w:t>
      </w:r>
    </w:p>
    <w:p w14:paraId="215D0E9C" w14:textId="77777777" w:rsidR="008746A5" w:rsidRPr="008746A5" w:rsidRDefault="008746A5" w:rsidP="008746A5">
      <w:pPr>
        <w:numPr>
          <w:ilvl w:val="0"/>
          <w:numId w:val="23"/>
        </w:numPr>
        <w:rPr>
          <w:rFonts w:asciiTheme="majorBidi" w:hAnsiTheme="majorBidi" w:cstheme="majorBidi"/>
          <w:sz w:val="36"/>
          <w:szCs w:val="36"/>
        </w:rPr>
      </w:pPr>
      <w:r w:rsidRPr="008746A5">
        <w:rPr>
          <w:rFonts w:asciiTheme="majorBidi" w:hAnsiTheme="majorBidi" w:cstheme="majorBidi"/>
          <w:sz w:val="36"/>
          <w:szCs w:val="36"/>
        </w:rPr>
        <w:t xml:space="preserve">Rioja </w:t>
      </w:r>
      <w:proofErr w:type="spellStart"/>
      <w:r w:rsidRPr="008746A5">
        <w:rPr>
          <w:rFonts w:asciiTheme="majorBidi" w:hAnsiTheme="majorBidi" w:cstheme="majorBidi"/>
          <w:sz w:val="36"/>
          <w:szCs w:val="36"/>
        </w:rPr>
        <w:t>Reserva</w:t>
      </w:r>
      <w:proofErr w:type="spellEnd"/>
    </w:p>
    <w:p w14:paraId="0A0649C5" w14:textId="77777777" w:rsidR="008746A5" w:rsidRPr="008746A5" w:rsidRDefault="008746A5" w:rsidP="008746A5">
      <w:pPr>
        <w:numPr>
          <w:ilvl w:val="0"/>
          <w:numId w:val="23"/>
        </w:numPr>
        <w:rPr>
          <w:rFonts w:asciiTheme="majorBidi" w:hAnsiTheme="majorBidi" w:cstheme="majorBidi"/>
          <w:sz w:val="36"/>
          <w:szCs w:val="36"/>
        </w:rPr>
      </w:pPr>
      <w:r w:rsidRPr="008746A5">
        <w:rPr>
          <w:rFonts w:asciiTheme="majorBidi" w:hAnsiTheme="majorBidi" w:cstheme="majorBidi"/>
          <w:sz w:val="36"/>
          <w:szCs w:val="36"/>
        </w:rPr>
        <w:t>Ribera del Duero</w:t>
      </w:r>
    </w:p>
    <w:p w14:paraId="2E48CEE7" w14:textId="77777777" w:rsidR="008746A5" w:rsidRPr="008746A5" w:rsidRDefault="008746A5" w:rsidP="008746A5">
      <w:pPr>
        <w:numPr>
          <w:ilvl w:val="0"/>
          <w:numId w:val="23"/>
        </w:numPr>
        <w:rPr>
          <w:rFonts w:asciiTheme="majorBidi" w:hAnsiTheme="majorBidi" w:cstheme="majorBidi"/>
          <w:sz w:val="36"/>
          <w:szCs w:val="36"/>
        </w:rPr>
      </w:pPr>
      <w:r w:rsidRPr="008746A5">
        <w:rPr>
          <w:rFonts w:asciiTheme="majorBidi" w:hAnsiTheme="majorBidi" w:cstheme="majorBidi"/>
          <w:sz w:val="36"/>
          <w:szCs w:val="36"/>
        </w:rPr>
        <w:t>Ruby or Tawny Port</w:t>
      </w:r>
    </w:p>
    <w:p w14:paraId="3A364092"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Oak influence, structure, and fortified wine fundamentals.</w:t>
      </w:r>
    </w:p>
    <w:p w14:paraId="4E57F3E9"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1E2A48E6">
          <v:rect id="_x0000_i1236" style="width:0;height:1.5pt" o:hralign="center" o:hrstd="t" o:hr="t" fillcolor="#a0a0a0" stroked="f"/>
        </w:pict>
      </w:r>
    </w:p>
    <w:p w14:paraId="1F350771"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8 – Midterm Blind Tasting and Theory Review</w:t>
      </w:r>
    </w:p>
    <w:p w14:paraId="506B2CB4" w14:textId="77777777" w:rsidR="008746A5" w:rsidRPr="008746A5" w:rsidRDefault="008746A5" w:rsidP="008746A5">
      <w:pPr>
        <w:numPr>
          <w:ilvl w:val="0"/>
          <w:numId w:val="24"/>
        </w:numPr>
        <w:rPr>
          <w:rFonts w:asciiTheme="majorBidi" w:hAnsiTheme="majorBidi" w:cstheme="majorBidi"/>
          <w:sz w:val="36"/>
          <w:szCs w:val="36"/>
        </w:rPr>
      </w:pPr>
      <w:r w:rsidRPr="008746A5">
        <w:rPr>
          <w:rFonts w:asciiTheme="majorBidi" w:hAnsiTheme="majorBidi" w:cstheme="majorBidi"/>
          <w:sz w:val="36"/>
          <w:szCs w:val="36"/>
        </w:rPr>
        <w:t>Two blind wines selected from Weeks 1–7</w:t>
      </w:r>
    </w:p>
    <w:p w14:paraId="3A9EC723"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Accuracy, structure, and professional articulation.</w:t>
      </w:r>
    </w:p>
    <w:p w14:paraId="784A6A12"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573B69CF">
          <v:rect id="_x0000_i1237" style="width:0;height:1.5pt" o:hralign="center" o:hrstd="t" o:hr="t" fillcolor="#a0a0a0" stroked="f"/>
        </w:pict>
      </w:r>
    </w:p>
    <w:p w14:paraId="59D42501"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9 – Germany and Austria</w:t>
      </w:r>
    </w:p>
    <w:p w14:paraId="3A9C89EE" w14:textId="77777777" w:rsidR="008746A5" w:rsidRPr="008746A5" w:rsidRDefault="008746A5" w:rsidP="008746A5">
      <w:pPr>
        <w:numPr>
          <w:ilvl w:val="0"/>
          <w:numId w:val="25"/>
        </w:numPr>
        <w:rPr>
          <w:rFonts w:asciiTheme="majorBidi" w:hAnsiTheme="majorBidi" w:cstheme="majorBidi"/>
          <w:sz w:val="36"/>
          <w:szCs w:val="36"/>
        </w:rPr>
      </w:pPr>
      <w:r w:rsidRPr="008746A5">
        <w:rPr>
          <w:rFonts w:asciiTheme="majorBidi" w:hAnsiTheme="majorBidi" w:cstheme="majorBidi"/>
          <w:sz w:val="36"/>
          <w:szCs w:val="36"/>
        </w:rPr>
        <w:t xml:space="preserve">Riesling </w:t>
      </w:r>
      <w:proofErr w:type="spellStart"/>
      <w:r w:rsidRPr="008746A5">
        <w:rPr>
          <w:rFonts w:asciiTheme="majorBidi" w:hAnsiTheme="majorBidi" w:cstheme="majorBidi"/>
          <w:sz w:val="36"/>
          <w:szCs w:val="36"/>
        </w:rPr>
        <w:t>Kabinett</w:t>
      </w:r>
      <w:proofErr w:type="spellEnd"/>
      <w:r w:rsidRPr="008746A5">
        <w:rPr>
          <w:rFonts w:asciiTheme="majorBidi" w:hAnsiTheme="majorBidi" w:cstheme="majorBidi"/>
          <w:sz w:val="36"/>
          <w:szCs w:val="36"/>
        </w:rPr>
        <w:t xml:space="preserve"> (Mosel)</w:t>
      </w:r>
    </w:p>
    <w:p w14:paraId="22643EE3" w14:textId="77777777" w:rsidR="008746A5" w:rsidRPr="008746A5" w:rsidRDefault="008746A5" w:rsidP="008746A5">
      <w:pPr>
        <w:numPr>
          <w:ilvl w:val="0"/>
          <w:numId w:val="25"/>
        </w:numPr>
        <w:rPr>
          <w:rFonts w:asciiTheme="majorBidi" w:hAnsiTheme="majorBidi" w:cstheme="majorBidi"/>
          <w:sz w:val="36"/>
          <w:szCs w:val="36"/>
        </w:rPr>
      </w:pPr>
      <w:r w:rsidRPr="008746A5">
        <w:rPr>
          <w:rFonts w:asciiTheme="majorBidi" w:hAnsiTheme="majorBidi" w:cstheme="majorBidi"/>
          <w:sz w:val="36"/>
          <w:szCs w:val="36"/>
        </w:rPr>
        <w:t xml:space="preserve">Riesling </w:t>
      </w:r>
      <w:proofErr w:type="spellStart"/>
      <w:r w:rsidRPr="008746A5">
        <w:rPr>
          <w:rFonts w:asciiTheme="majorBidi" w:hAnsiTheme="majorBidi" w:cstheme="majorBidi"/>
          <w:sz w:val="36"/>
          <w:szCs w:val="36"/>
        </w:rPr>
        <w:t>Trocken</w:t>
      </w:r>
      <w:proofErr w:type="spellEnd"/>
      <w:r w:rsidRPr="008746A5">
        <w:rPr>
          <w:rFonts w:asciiTheme="majorBidi" w:hAnsiTheme="majorBidi" w:cstheme="majorBidi"/>
          <w:sz w:val="36"/>
          <w:szCs w:val="36"/>
        </w:rPr>
        <w:t xml:space="preserve"> (</w:t>
      </w:r>
      <w:proofErr w:type="spellStart"/>
      <w:r w:rsidRPr="008746A5">
        <w:rPr>
          <w:rFonts w:asciiTheme="majorBidi" w:hAnsiTheme="majorBidi" w:cstheme="majorBidi"/>
          <w:sz w:val="36"/>
          <w:szCs w:val="36"/>
        </w:rPr>
        <w:t>Rheingau</w:t>
      </w:r>
      <w:proofErr w:type="spellEnd"/>
      <w:r w:rsidRPr="008746A5">
        <w:rPr>
          <w:rFonts w:asciiTheme="majorBidi" w:hAnsiTheme="majorBidi" w:cstheme="majorBidi"/>
          <w:sz w:val="36"/>
          <w:szCs w:val="36"/>
        </w:rPr>
        <w:t xml:space="preserve"> or Pfalz)</w:t>
      </w:r>
    </w:p>
    <w:p w14:paraId="7ACD529E" w14:textId="77777777" w:rsidR="008746A5" w:rsidRPr="008746A5" w:rsidRDefault="008746A5" w:rsidP="008746A5">
      <w:pPr>
        <w:numPr>
          <w:ilvl w:val="0"/>
          <w:numId w:val="25"/>
        </w:numPr>
        <w:rPr>
          <w:rFonts w:asciiTheme="majorBidi" w:hAnsiTheme="majorBidi" w:cstheme="majorBidi"/>
          <w:sz w:val="36"/>
          <w:szCs w:val="36"/>
        </w:rPr>
      </w:pPr>
      <w:r w:rsidRPr="008746A5">
        <w:rPr>
          <w:rFonts w:asciiTheme="majorBidi" w:hAnsiTheme="majorBidi" w:cstheme="majorBidi"/>
          <w:sz w:val="36"/>
          <w:szCs w:val="36"/>
        </w:rPr>
        <w:t>Grüner Veltliner (</w:t>
      </w:r>
      <w:proofErr w:type="spellStart"/>
      <w:r w:rsidRPr="008746A5">
        <w:rPr>
          <w:rFonts w:asciiTheme="majorBidi" w:hAnsiTheme="majorBidi" w:cstheme="majorBidi"/>
          <w:sz w:val="36"/>
          <w:szCs w:val="36"/>
        </w:rPr>
        <w:t>Kamptal</w:t>
      </w:r>
      <w:proofErr w:type="spellEnd"/>
      <w:r w:rsidRPr="008746A5">
        <w:rPr>
          <w:rFonts w:asciiTheme="majorBidi" w:hAnsiTheme="majorBidi" w:cstheme="majorBidi"/>
          <w:sz w:val="36"/>
          <w:szCs w:val="36"/>
        </w:rPr>
        <w:t xml:space="preserve"> or Wachau)</w:t>
      </w:r>
    </w:p>
    <w:p w14:paraId="31E77488"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Sweetness perception, acidity, and precision.</w:t>
      </w:r>
    </w:p>
    <w:p w14:paraId="176E4612"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1D570444">
          <v:rect id="_x0000_i1238" style="width:0;height:1.5pt" o:hralign="center" o:hrstd="t" o:hr="t" fillcolor="#a0a0a0" stroked="f"/>
        </w:pict>
      </w:r>
    </w:p>
    <w:p w14:paraId="7C82F102"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10 – Eastern Europe and Mediterranean Classics</w:t>
      </w:r>
    </w:p>
    <w:p w14:paraId="4664DD13" w14:textId="77777777" w:rsidR="008746A5" w:rsidRPr="008746A5" w:rsidRDefault="008746A5" w:rsidP="008746A5">
      <w:pPr>
        <w:numPr>
          <w:ilvl w:val="0"/>
          <w:numId w:val="26"/>
        </w:numPr>
        <w:rPr>
          <w:rFonts w:asciiTheme="majorBidi" w:hAnsiTheme="majorBidi" w:cstheme="majorBidi"/>
          <w:sz w:val="36"/>
          <w:szCs w:val="36"/>
        </w:rPr>
      </w:pPr>
      <w:r w:rsidRPr="008746A5">
        <w:rPr>
          <w:rFonts w:asciiTheme="majorBidi" w:hAnsiTheme="majorBidi" w:cstheme="majorBidi"/>
          <w:sz w:val="36"/>
          <w:szCs w:val="36"/>
        </w:rPr>
        <w:t xml:space="preserve">Tokaji Late Harvest or </w:t>
      </w:r>
      <w:proofErr w:type="spellStart"/>
      <w:r w:rsidRPr="008746A5">
        <w:rPr>
          <w:rFonts w:asciiTheme="majorBidi" w:hAnsiTheme="majorBidi" w:cstheme="majorBidi"/>
          <w:sz w:val="36"/>
          <w:szCs w:val="36"/>
        </w:rPr>
        <w:t>Szamorodni</w:t>
      </w:r>
      <w:proofErr w:type="spellEnd"/>
    </w:p>
    <w:p w14:paraId="26820BC7" w14:textId="77777777" w:rsidR="008746A5" w:rsidRPr="008746A5" w:rsidRDefault="008746A5" w:rsidP="008746A5">
      <w:pPr>
        <w:numPr>
          <w:ilvl w:val="0"/>
          <w:numId w:val="26"/>
        </w:numPr>
        <w:rPr>
          <w:rFonts w:asciiTheme="majorBidi" w:hAnsiTheme="majorBidi" w:cstheme="majorBidi"/>
          <w:sz w:val="36"/>
          <w:szCs w:val="36"/>
        </w:rPr>
      </w:pPr>
      <w:r w:rsidRPr="008746A5">
        <w:rPr>
          <w:rFonts w:asciiTheme="majorBidi" w:hAnsiTheme="majorBidi" w:cstheme="majorBidi"/>
          <w:sz w:val="36"/>
          <w:szCs w:val="36"/>
        </w:rPr>
        <w:t>Assyrtiko (Santorini)</w:t>
      </w:r>
    </w:p>
    <w:p w14:paraId="660A9E04" w14:textId="77777777" w:rsidR="008746A5" w:rsidRPr="008746A5" w:rsidRDefault="008746A5" w:rsidP="008746A5">
      <w:pPr>
        <w:numPr>
          <w:ilvl w:val="0"/>
          <w:numId w:val="26"/>
        </w:numPr>
        <w:rPr>
          <w:rFonts w:asciiTheme="majorBidi" w:hAnsiTheme="majorBidi" w:cstheme="majorBidi"/>
          <w:sz w:val="36"/>
          <w:szCs w:val="36"/>
        </w:rPr>
      </w:pPr>
      <w:r w:rsidRPr="008746A5">
        <w:rPr>
          <w:rFonts w:asciiTheme="majorBidi" w:hAnsiTheme="majorBidi" w:cstheme="majorBidi"/>
          <w:sz w:val="36"/>
          <w:szCs w:val="36"/>
        </w:rPr>
        <w:t>Georgian qvevri wine</w:t>
      </w:r>
    </w:p>
    <w:p w14:paraId="405CFFA8"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Historical significance and emerging regional literacy.</w:t>
      </w:r>
    </w:p>
    <w:p w14:paraId="4AC8A1B4"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2E4B64EB">
          <v:rect id="_x0000_i1239" style="width:0;height:1.5pt" o:hralign="center" o:hrstd="t" o:hr="t" fillcolor="#a0a0a0" stroked="f"/>
        </w:pict>
      </w:r>
    </w:p>
    <w:p w14:paraId="0DF04FC9"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11 – United States I: California</w:t>
      </w:r>
    </w:p>
    <w:p w14:paraId="573179E1" w14:textId="77777777" w:rsidR="008746A5" w:rsidRPr="008746A5" w:rsidRDefault="008746A5" w:rsidP="008746A5">
      <w:pPr>
        <w:numPr>
          <w:ilvl w:val="0"/>
          <w:numId w:val="27"/>
        </w:numPr>
        <w:rPr>
          <w:rFonts w:asciiTheme="majorBidi" w:hAnsiTheme="majorBidi" w:cstheme="majorBidi"/>
          <w:sz w:val="36"/>
          <w:szCs w:val="36"/>
        </w:rPr>
      </w:pPr>
      <w:r w:rsidRPr="008746A5">
        <w:rPr>
          <w:rFonts w:asciiTheme="majorBidi" w:hAnsiTheme="majorBidi" w:cstheme="majorBidi"/>
          <w:sz w:val="36"/>
          <w:szCs w:val="36"/>
        </w:rPr>
        <w:t>Napa Valley Cabernet Sauvignon</w:t>
      </w:r>
    </w:p>
    <w:p w14:paraId="201D9EDB" w14:textId="77777777" w:rsidR="008746A5" w:rsidRPr="008746A5" w:rsidRDefault="008746A5" w:rsidP="008746A5">
      <w:pPr>
        <w:numPr>
          <w:ilvl w:val="0"/>
          <w:numId w:val="27"/>
        </w:numPr>
        <w:rPr>
          <w:rFonts w:asciiTheme="majorBidi" w:hAnsiTheme="majorBidi" w:cstheme="majorBidi"/>
          <w:sz w:val="36"/>
          <w:szCs w:val="36"/>
        </w:rPr>
      </w:pPr>
      <w:r w:rsidRPr="008746A5">
        <w:rPr>
          <w:rFonts w:asciiTheme="majorBidi" w:hAnsiTheme="majorBidi" w:cstheme="majorBidi"/>
          <w:sz w:val="36"/>
          <w:szCs w:val="36"/>
        </w:rPr>
        <w:t>Sonoma Coast Pinot Noir</w:t>
      </w:r>
    </w:p>
    <w:p w14:paraId="2B64038A" w14:textId="77777777" w:rsidR="008746A5" w:rsidRPr="008746A5" w:rsidRDefault="008746A5" w:rsidP="008746A5">
      <w:pPr>
        <w:numPr>
          <w:ilvl w:val="0"/>
          <w:numId w:val="27"/>
        </w:numPr>
        <w:rPr>
          <w:rFonts w:asciiTheme="majorBidi" w:hAnsiTheme="majorBidi" w:cstheme="majorBidi"/>
          <w:sz w:val="36"/>
          <w:szCs w:val="36"/>
        </w:rPr>
      </w:pPr>
      <w:r w:rsidRPr="008746A5">
        <w:rPr>
          <w:rFonts w:asciiTheme="majorBidi" w:hAnsiTheme="majorBidi" w:cstheme="majorBidi"/>
          <w:sz w:val="36"/>
          <w:szCs w:val="36"/>
        </w:rPr>
        <w:t>California Chardonnay (moderately oaked)</w:t>
      </w:r>
    </w:p>
    <w:p w14:paraId="36E87FA7"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New World structure and oak integration.</w:t>
      </w:r>
    </w:p>
    <w:p w14:paraId="1075FE31"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1D6B5866">
          <v:rect id="_x0000_i1240" style="width:0;height:1.5pt" o:hralign="center" o:hrstd="t" o:hr="t" fillcolor="#a0a0a0" stroked="f"/>
        </w:pict>
      </w:r>
    </w:p>
    <w:p w14:paraId="19A54D15"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12 – United States II: Oregon and Washington</w:t>
      </w:r>
    </w:p>
    <w:p w14:paraId="758AE9B4" w14:textId="77777777" w:rsidR="008746A5" w:rsidRPr="008746A5" w:rsidRDefault="008746A5" w:rsidP="008746A5">
      <w:pPr>
        <w:numPr>
          <w:ilvl w:val="0"/>
          <w:numId w:val="28"/>
        </w:numPr>
        <w:rPr>
          <w:rFonts w:asciiTheme="majorBidi" w:hAnsiTheme="majorBidi" w:cstheme="majorBidi"/>
          <w:sz w:val="36"/>
          <w:szCs w:val="36"/>
        </w:rPr>
      </w:pPr>
      <w:r w:rsidRPr="008746A5">
        <w:rPr>
          <w:rFonts w:asciiTheme="majorBidi" w:hAnsiTheme="majorBidi" w:cstheme="majorBidi"/>
          <w:sz w:val="36"/>
          <w:szCs w:val="36"/>
        </w:rPr>
        <w:t>Willamette Valley Pinot Noir</w:t>
      </w:r>
    </w:p>
    <w:p w14:paraId="6D349EBE" w14:textId="77777777" w:rsidR="008746A5" w:rsidRPr="008746A5" w:rsidRDefault="008746A5" w:rsidP="008746A5">
      <w:pPr>
        <w:numPr>
          <w:ilvl w:val="0"/>
          <w:numId w:val="28"/>
        </w:numPr>
        <w:rPr>
          <w:rFonts w:asciiTheme="majorBidi" w:hAnsiTheme="majorBidi" w:cstheme="majorBidi"/>
          <w:sz w:val="36"/>
          <w:szCs w:val="36"/>
        </w:rPr>
      </w:pPr>
      <w:r w:rsidRPr="008746A5">
        <w:rPr>
          <w:rFonts w:asciiTheme="majorBidi" w:hAnsiTheme="majorBidi" w:cstheme="majorBidi"/>
          <w:sz w:val="36"/>
          <w:szCs w:val="36"/>
        </w:rPr>
        <w:t>Columbia Valley Syrah</w:t>
      </w:r>
    </w:p>
    <w:p w14:paraId="16BABEB6"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Climate contrast and stylistic differentiation.</w:t>
      </w:r>
    </w:p>
    <w:p w14:paraId="1532FDF3"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3A2B1068">
          <v:rect id="_x0000_i1241" style="width:0;height:1.5pt" o:hralign="center" o:hrstd="t" o:hr="t" fillcolor="#a0a0a0" stroked="f"/>
        </w:pict>
      </w:r>
    </w:p>
    <w:p w14:paraId="6044FEBC"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13 – Southern Hemisphere I: Australia and New Zealand</w:t>
      </w:r>
    </w:p>
    <w:p w14:paraId="51ED599F" w14:textId="77777777" w:rsidR="008746A5" w:rsidRPr="008746A5" w:rsidRDefault="008746A5" w:rsidP="008746A5">
      <w:pPr>
        <w:numPr>
          <w:ilvl w:val="0"/>
          <w:numId w:val="29"/>
        </w:numPr>
        <w:rPr>
          <w:rFonts w:asciiTheme="majorBidi" w:hAnsiTheme="majorBidi" w:cstheme="majorBidi"/>
          <w:sz w:val="36"/>
          <w:szCs w:val="36"/>
        </w:rPr>
      </w:pPr>
      <w:r w:rsidRPr="008746A5">
        <w:rPr>
          <w:rFonts w:asciiTheme="majorBidi" w:hAnsiTheme="majorBidi" w:cstheme="majorBidi"/>
          <w:sz w:val="36"/>
          <w:szCs w:val="36"/>
        </w:rPr>
        <w:t>Barossa Valley Shiraz</w:t>
      </w:r>
    </w:p>
    <w:p w14:paraId="1994151C" w14:textId="77777777" w:rsidR="008746A5" w:rsidRPr="008746A5" w:rsidRDefault="008746A5" w:rsidP="008746A5">
      <w:pPr>
        <w:numPr>
          <w:ilvl w:val="0"/>
          <w:numId w:val="29"/>
        </w:numPr>
        <w:rPr>
          <w:rFonts w:asciiTheme="majorBidi" w:hAnsiTheme="majorBidi" w:cstheme="majorBidi"/>
          <w:sz w:val="36"/>
          <w:szCs w:val="36"/>
        </w:rPr>
      </w:pPr>
      <w:r w:rsidRPr="008746A5">
        <w:rPr>
          <w:rFonts w:asciiTheme="majorBidi" w:hAnsiTheme="majorBidi" w:cstheme="majorBidi"/>
          <w:sz w:val="36"/>
          <w:szCs w:val="36"/>
        </w:rPr>
        <w:t>Margaret River Chardonnay</w:t>
      </w:r>
    </w:p>
    <w:p w14:paraId="60FA9FAC" w14:textId="77777777" w:rsidR="008746A5" w:rsidRPr="008746A5" w:rsidRDefault="008746A5" w:rsidP="008746A5">
      <w:pPr>
        <w:numPr>
          <w:ilvl w:val="0"/>
          <w:numId w:val="29"/>
        </w:numPr>
        <w:rPr>
          <w:rFonts w:asciiTheme="majorBidi" w:hAnsiTheme="majorBidi" w:cstheme="majorBidi"/>
          <w:sz w:val="36"/>
          <w:szCs w:val="36"/>
        </w:rPr>
      </w:pPr>
      <w:r w:rsidRPr="008746A5">
        <w:rPr>
          <w:rFonts w:asciiTheme="majorBidi" w:hAnsiTheme="majorBidi" w:cstheme="majorBidi"/>
          <w:sz w:val="36"/>
          <w:szCs w:val="36"/>
        </w:rPr>
        <w:t>Marlborough Sauvignon Blanc</w:t>
      </w:r>
    </w:p>
    <w:p w14:paraId="09CC74C9"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Power versus restraint in Southern Hemisphere styles.</w:t>
      </w:r>
    </w:p>
    <w:p w14:paraId="03A8FAB2"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212126F9">
          <v:rect id="_x0000_i1242" style="width:0;height:1.5pt" o:hralign="center" o:hrstd="t" o:hr="t" fillcolor="#a0a0a0" stroked="f"/>
        </w:pict>
      </w:r>
    </w:p>
    <w:p w14:paraId="04A63092"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14 – Southern Hemisphere II: South America and South Africa</w:t>
      </w:r>
    </w:p>
    <w:p w14:paraId="76A20376" w14:textId="77777777" w:rsidR="008746A5" w:rsidRPr="008746A5" w:rsidRDefault="008746A5" w:rsidP="008746A5">
      <w:pPr>
        <w:numPr>
          <w:ilvl w:val="0"/>
          <w:numId w:val="30"/>
        </w:numPr>
        <w:rPr>
          <w:rFonts w:asciiTheme="majorBidi" w:hAnsiTheme="majorBidi" w:cstheme="majorBidi"/>
          <w:sz w:val="36"/>
          <w:szCs w:val="36"/>
        </w:rPr>
      </w:pPr>
      <w:r w:rsidRPr="008746A5">
        <w:rPr>
          <w:rFonts w:asciiTheme="majorBidi" w:hAnsiTheme="majorBidi" w:cstheme="majorBidi"/>
          <w:sz w:val="36"/>
          <w:szCs w:val="36"/>
        </w:rPr>
        <w:t>Mendoza Malbec</w:t>
      </w:r>
    </w:p>
    <w:p w14:paraId="406BCF70" w14:textId="77777777" w:rsidR="008746A5" w:rsidRPr="008746A5" w:rsidRDefault="008746A5" w:rsidP="008746A5">
      <w:pPr>
        <w:numPr>
          <w:ilvl w:val="0"/>
          <w:numId w:val="30"/>
        </w:numPr>
        <w:rPr>
          <w:rFonts w:asciiTheme="majorBidi" w:hAnsiTheme="majorBidi" w:cstheme="majorBidi"/>
          <w:sz w:val="36"/>
          <w:szCs w:val="36"/>
        </w:rPr>
      </w:pPr>
      <w:r w:rsidRPr="008746A5">
        <w:rPr>
          <w:rFonts w:asciiTheme="majorBidi" w:hAnsiTheme="majorBidi" w:cstheme="majorBidi"/>
          <w:sz w:val="36"/>
          <w:szCs w:val="36"/>
        </w:rPr>
        <w:t>Maipo Valley Carmenère</w:t>
      </w:r>
    </w:p>
    <w:p w14:paraId="0301C20D" w14:textId="77777777" w:rsidR="008746A5" w:rsidRPr="008746A5" w:rsidRDefault="008746A5" w:rsidP="008746A5">
      <w:pPr>
        <w:numPr>
          <w:ilvl w:val="0"/>
          <w:numId w:val="30"/>
        </w:numPr>
        <w:rPr>
          <w:rFonts w:asciiTheme="majorBidi" w:hAnsiTheme="majorBidi" w:cstheme="majorBidi"/>
          <w:sz w:val="36"/>
          <w:szCs w:val="36"/>
        </w:rPr>
      </w:pPr>
      <w:r w:rsidRPr="008746A5">
        <w:rPr>
          <w:rFonts w:asciiTheme="majorBidi" w:hAnsiTheme="majorBidi" w:cstheme="majorBidi"/>
          <w:sz w:val="36"/>
          <w:szCs w:val="36"/>
        </w:rPr>
        <w:t>Stellenbosch Chenin Blanc</w:t>
      </w:r>
      <w:r w:rsidRPr="008746A5">
        <w:rPr>
          <w:rFonts w:asciiTheme="majorBidi" w:hAnsiTheme="majorBidi" w:cstheme="majorBidi"/>
          <w:sz w:val="36"/>
          <w:szCs w:val="36"/>
        </w:rPr>
        <w:br/>
      </w:r>
      <w:r w:rsidRPr="008746A5">
        <w:rPr>
          <w:rFonts w:asciiTheme="majorBidi" w:hAnsiTheme="majorBidi" w:cstheme="majorBidi"/>
          <w:i/>
          <w:iCs/>
          <w:sz w:val="36"/>
          <w:szCs w:val="36"/>
        </w:rPr>
        <w:t>(Pinotage may be substituted or rotated as availability allows)</w:t>
      </w:r>
    </w:p>
    <w:p w14:paraId="757E0F56"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Altitude, ripeness, and structural balance.</w:t>
      </w:r>
    </w:p>
    <w:p w14:paraId="001F534E"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0FE0D2FC">
          <v:rect id="_x0000_i1243" style="width:0;height:1.5pt" o:hralign="center" o:hrstd="t" o:hr="t" fillcolor="#a0a0a0" stroked="f"/>
        </w:pict>
      </w:r>
    </w:p>
    <w:p w14:paraId="4CCB8185"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Week 15 – Final Blind Tasting and Assessment Wines</w:t>
      </w:r>
    </w:p>
    <w:p w14:paraId="3634AF46" w14:textId="77777777" w:rsidR="008746A5" w:rsidRPr="008746A5" w:rsidRDefault="008746A5" w:rsidP="008746A5">
      <w:pPr>
        <w:numPr>
          <w:ilvl w:val="0"/>
          <w:numId w:val="31"/>
        </w:numPr>
        <w:rPr>
          <w:rFonts w:asciiTheme="majorBidi" w:hAnsiTheme="majorBidi" w:cstheme="majorBidi"/>
          <w:sz w:val="36"/>
          <w:szCs w:val="36"/>
        </w:rPr>
      </w:pPr>
      <w:r w:rsidRPr="008746A5">
        <w:rPr>
          <w:rFonts w:asciiTheme="majorBidi" w:hAnsiTheme="majorBidi" w:cstheme="majorBidi"/>
          <w:sz w:val="36"/>
          <w:szCs w:val="36"/>
        </w:rPr>
        <w:t>Three blind wines selected from the semester list</w:t>
      </w:r>
    </w:p>
    <w:p w14:paraId="1E34DE22"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b/>
          <w:bCs/>
          <w:sz w:val="36"/>
          <w:szCs w:val="36"/>
        </w:rPr>
        <w:t>Focus:</w:t>
      </w:r>
      <w:r w:rsidRPr="008746A5">
        <w:rPr>
          <w:rFonts w:asciiTheme="majorBidi" w:hAnsiTheme="majorBidi" w:cstheme="majorBidi"/>
          <w:sz w:val="36"/>
          <w:szCs w:val="36"/>
        </w:rPr>
        <w:t xml:space="preserve"> Varietal recognition, regional typicity, and professional articulation.</w:t>
      </w:r>
    </w:p>
    <w:p w14:paraId="6D3A7FB0"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3F0ACDB0">
          <v:rect id="_x0000_i1244" style="width:0;height:1.5pt" o:hralign="center" o:hrstd="t" o:hr="t" fillcolor="#a0a0a0" stroked="f"/>
        </w:pict>
      </w:r>
    </w:p>
    <w:p w14:paraId="78416BC2"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Instructional Notes (Level II)</w:t>
      </w:r>
    </w:p>
    <w:p w14:paraId="00CFF62E" w14:textId="77777777" w:rsidR="008746A5" w:rsidRPr="008746A5" w:rsidRDefault="008746A5" w:rsidP="008746A5">
      <w:pPr>
        <w:numPr>
          <w:ilvl w:val="0"/>
          <w:numId w:val="32"/>
        </w:numPr>
        <w:rPr>
          <w:rFonts w:asciiTheme="majorBidi" w:hAnsiTheme="majorBidi" w:cstheme="majorBidi"/>
          <w:sz w:val="36"/>
          <w:szCs w:val="36"/>
        </w:rPr>
      </w:pPr>
      <w:r w:rsidRPr="008746A5">
        <w:rPr>
          <w:rFonts w:asciiTheme="majorBidi" w:hAnsiTheme="majorBidi" w:cstheme="majorBidi"/>
          <w:sz w:val="36"/>
          <w:szCs w:val="36"/>
        </w:rPr>
        <w:t xml:space="preserve">Tastings emphasize </w:t>
      </w:r>
      <w:r w:rsidRPr="008746A5">
        <w:rPr>
          <w:rFonts w:asciiTheme="majorBidi" w:hAnsiTheme="majorBidi" w:cstheme="majorBidi"/>
          <w:b/>
          <w:bCs/>
          <w:sz w:val="36"/>
          <w:szCs w:val="36"/>
        </w:rPr>
        <w:t>classic benchmarks over prestige labels</w:t>
      </w:r>
      <w:r w:rsidRPr="008746A5">
        <w:rPr>
          <w:rFonts w:asciiTheme="majorBidi" w:hAnsiTheme="majorBidi" w:cstheme="majorBidi"/>
          <w:sz w:val="36"/>
          <w:szCs w:val="36"/>
        </w:rPr>
        <w:t>.</w:t>
      </w:r>
    </w:p>
    <w:p w14:paraId="4523EA33" w14:textId="77777777" w:rsidR="008746A5" w:rsidRPr="008746A5" w:rsidRDefault="008746A5" w:rsidP="008746A5">
      <w:pPr>
        <w:numPr>
          <w:ilvl w:val="0"/>
          <w:numId w:val="32"/>
        </w:numPr>
        <w:rPr>
          <w:rFonts w:asciiTheme="majorBidi" w:hAnsiTheme="majorBidi" w:cstheme="majorBidi"/>
          <w:sz w:val="36"/>
          <w:szCs w:val="36"/>
        </w:rPr>
      </w:pPr>
      <w:r w:rsidRPr="008746A5">
        <w:rPr>
          <w:rFonts w:asciiTheme="majorBidi" w:hAnsiTheme="majorBidi" w:cstheme="majorBidi"/>
          <w:sz w:val="36"/>
          <w:szCs w:val="36"/>
        </w:rPr>
        <w:t>Wines should be sourced at responsible wholesale price points.</w:t>
      </w:r>
    </w:p>
    <w:p w14:paraId="0DDC75CE" w14:textId="77777777" w:rsidR="008746A5" w:rsidRPr="008746A5" w:rsidRDefault="008746A5" w:rsidP="008746A5">
      <w:pPr>
        <w:numPr>
          <w:ilvl w:val="0"/>
          <w:numId w:val="32"/>
        </w:numPr>
        <w:rPr>
          <w:rFonts w:asciiTheme="majorBidi" w:hAnsiTheme="majorBidi" w:cstheme="majorBidi"/>
          <w:sz w:val="36"/>
          <w:szCs w:val="36"/>
        </w:rPr>
      </w:pPr>
      <w:r w:rsidRPr="008746A5">
        <w:rPr>
          <w:rFonts w:asciiTheme="majorBidi" w:hAnsiTheme="majorBidi" w:cstheme="majorBidi"/>
          <w:sz w:val="36"/>
          <w:szCs w:val="36"/>
        </w:rPr>
        <w:t>Blind tastings follow a standardized professional grid.</w:t>
      </w:r>
    </w:p>
    <w:p w14:paraId="5DA02585" w14:textId="77777777" w:rsidR="008746A5" w:rsidRPr="008746A5" w:rsidRDefault="008746A5" w:rsidP="008746A5">
      <w:pPr>
        <w:numPr>
          <w:ilvl w:val="0"/>
          <w:numId w:val="32"/>
        </w:numPr>
        <w:rPr>
          <w:rFonts w:asciiTheme="majorBidi" w:hAnsiTheme="majorBidi" w:cstheme="majorBidi"/>
          <w:sz w:val="36"/>
          <w:szCs w:val="36"/>
        </w:rPr>
      </w:pPr>
      <w:r w:rsidRPr="008746A5">
        <w:rPr>
          <w:rFonts w:asciiTheme="majorBidi" w:hAnsiTheme="majorBidi" w:cstheme="majorBidi"/>
          <w:sz w:val="36"/>
          <w:szCs w:val="36"/>
        </w:rPr>
        <w:t>Service evaluation focuses on competence and professionalism, not ceremony.</w:t>
      </w:r>
    </w:p>
    <w:p w14:paraId="63CC364E" w14:textId="77777777" w:rsidR="008746A5" w:rsidRPr="008746A5" w:rsidRDefault="008746A5" w:rsidP="008746A5">
      <w:pPr>
        <w:numPr>
          <w:ilvl w:val="0"/>
          <w:numId w:val="32"/>
        </w:numPr>
        <w:rPr>
          <w:rFonts w:asciiTheme="majorBidi" w:hAnsiTheme="majorBidi" w:cstheme="majorBidi"/>
          <w:sz w:val="36"/>
          <w:szCs w:val="36"/>
        </w:rPr>
      </w:pPr>
      <w:r w:rsidRPr="008746A5">
        <w:rPr>
          <w:rFonts w:asciiTheme="majorBidi" w:hAnsiTheme="majorBidi" w:cstheme="majorBidi"/>
          <w:sz w:val="36"/>
          <w:szCs w:val="36"/>
        </w:rPr>
        <w:t>Students are expected to describe structure, origin, and style clearly and consistently.</w:t>
      </w:r>
    </w:p>
    <w:p w14:paraId="2C4C4A1E" w14:textId="77777777" w:rsidR="008746A5"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pict w14:anchorId="1C819EFF">
          <v:rect id="_x0000_i1245" style="width:0;height:1.5pt" o:hralign="center" o:hrstd="t" o:hr="t" fillcolor="#a0a0a0" stroked="f"/>
        </w:pict>
      </w:r>
    </w:p>
    <w:p w14:paraId="05C43D70" w14:textId="77777777" w:rsidR="008746A5" w:rsidRPr="008746A5" w:rsidRDefault="008746A5" w:rsidP="008746A5">
      <w:pPr>
        <w:rPr>
          <w:rFonts w:asciiTheme="majorBidi" w:hAnsiTheme="majorBidi" w:cstheme="majorBidi"/>
          <w:b/>
          <w:bCs/>
          <w:sz w:val="36"/>
          <w:szCs w:val="36"/>
        </w:rPr>
      </w:pPr>
      <w:r w:rsidRPr="008746A5">
        <w:rPr>
          <w:rFonts w:asciiTheme="majorBidi" w:hAnsiTheme="majorBidi" w:cstheme="majorBidi"/>
          <w:b/>
          <w:bCs/>
          <w:sz w:val="36"/>
          <w:szCs w:val="36"/>
        </w:rPr>
        <w:t>Educational Rationale</w:t>
      </w:r>
    </w:p>
    <w:p w14:paraId="68091264" w14:textId="49FACA8A" w:rsidR="00FB5B6C" w:rsidRPr="008746A5" w:rsidRDefault="008746A5" w:rsidP="008746A5">
      <w:pPr>
        <w:rPr>
          <w:rFonts w:asciiTheme="majorBidi" w:hAnsiTheme="majorBidi" w:cstheme="majorBidi"/>
          <w:sz w:val="36"/>
          <w:szCs w:val="36"/>
        </w:rPr>
      </w:pPr>
      <w:r w:rsidRPr="008746A5">
        <w:rPr>
          <w:rFonts w:asciiTheme="majorBidi" w:hAnsiTheme="majorBidi" w:cstheme="majorBidi"/>
          <w:sz w:val="36"/>
          <w:szCs w:val="36"/>
        </w:rPr>
        <w:t>This Level II tasting sequence reinforces structured blind tasting while expanding global and regional literacy. The list balances rigor with cost discipline and prepares students for Level III by emphasizing analytical consistency, professional language, and controlled escalation of difficulty.</w:t>
      </w:r>
    </w:p>
    <w:sectPr w:rsidR="00FB5B6C" w:rsidRPr="00874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BC"/>
    <w:multiLevelType w:val="multilevel"/>
    <w:tmpl w:val="C988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45322"/>
    <w:multiLevelType w:val="multilevel"/>
    <w:tmpl w:val="FDA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25FC"/>
    <w:multiLevelType w:val="multilevel"/>
    <w:tmpl w:val="ED56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6D8F"/>
    <w:multiLevelType w:val="multilevel"/>
    <w:tmpl w:val="93F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01455"/>
    <w:multiLevelType w:val="multilevel"/>
    <w:tmpl w:val="684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27B36"/>
    <w:multiLevelType w:val="multilevel"/>
    <w:tmpl w:val="305A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34C39"/>
    <w:multiLevelType w:val="multilevel"/>
    <w:tmpl w:val="C818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4695A"/>
    <w:multiLevelType w:val="multilevel"/>
    <w:tmpl w:val="FEC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763FE"/>
    <w:multiLevelType w:val="multilevel"/>
    <w:tmpl w:val="BA9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B012C"/>
    <w:multiLevelType w:val="multilevel"/>
    <w:tmpl w:val="4ADC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B60D3"/>
    <w:multiLevelType w:val="multilevel"/>
    <w:tmpl w:val="8188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E6549"/>
    <w:multiLevelType w:val="multilevel"/>
    <w:tmpl w:val="F18C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100FD"/>
    <w:multiLevelType w:val="multilevel"/>
    <w:tmpl w:val="2502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D77E2"/>
    <w:multiLevelType w:val="multilevel"/>
    <w:tmpl w:val="C9B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578FA"/>
    <w:multiLevelType w:val="multilevel"/>
    <w:tmpl w:val="C26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F2B82"/>
    <w:multiLevelType w:val="multilevel"/>
    <w:tmpl w:val="924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346E6"/>
    <w:multiLevelType w:val="multilevel"/>
    <w:tmpl w:val="2BD8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50867"/>
    <w:multiLevelType w:val="multilevel"/>
    <w:tmpl w:val="20F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9586B"/>
    <w:multiLevelType w:val="multilevel"/>
    <w:tmpl w:val="A646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33577"/>
    <w:multiLevelType w:val="multilevel"/>
    <w:tmpl w:val="9D78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D1D7D"/>
    <w:multiLevelType w:val="multilevel"/>
    <w:tmpl w:val="DAC8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24A2B"/>
    <w:multiLevelType w:val="multilevel"/>
    <w:tmpl w:val="549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8759A"/>
    <w:multiLevelType w:val="multilevel"/>
    <w:tmpl w:val="D7F6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C5FC6"/>
    <w:multiLevelType w:val="multilevel"/>
    <w:tmpl w:val="D22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24743"/>
    <w:multiLevelType w:val="multilevel"/>
    <w:tmpl w:val="4112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76C5B"/>
    <w:multiLevelType w:val="multilevel"/>
    <w:tmpl w:val="3D9C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F3F4B"/>
    <w:multiLevelType w:val="multilevel"/>
    <w:tmpl w:val="C92C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72929"/>
    <w:multiLevelType w:val="multilevel"/>
    <w:tmpl w:val="6EC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D758F"/>
    <w:multiLevelType w:val="multilevel"/>
    <w:tmpl w:val="8C5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54ED6"/>
    <w:multiLevelType w:val="multilevel"/>
    <w:tmpl w:val="6092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776FE"/>
    <w:multiLevelType w:val="multilevel"/>
    <w:tmpl w:val="7CE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54A69"/>
    <w:multiLevelType w:val="multilevel"/>
    <w:tmpl w:val="E300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036480">
    <w:abstractNumId w:val="7"/>
  </w:num>
  <w:num w:numId="2" w16cid:durableId="1404985042">
    <w:abstractNumId w:val="16"/>
  </w:num>
  <w:num w:numId="3" w16cid:durableId="933512380">
    <w:abstractNumId w:val="24"/>
  </w:num>
  <w:num w:numId="4" w16cid:durableId="1751612689">
    <w:abstractNumId w:val="13"/>
  </w:num>
  <w:num w:numId="5" w16cid:durableId="2064132306">
    <w:abstractNumId w:val="17"/>
  </w:num>
  <w:num w:numId="6" w16cid:durableId="1345588872">
    <w:abstractNumId w:val="14"/>
  </w:num>
  <w:num w:numId="7" w16cid:durableId="1396783283">
    <w:abstractNumId w:val="10"/>
  </w:num>
  <w:num w:numId="8" w16cid:durableId="996491655">
    <w:abstractNumId w:val="20"/>
  </w:num>
  <w:num w:numId="9" w16cid:durableId="1005353533">
    <w:abstractNumId w:val="12"/>
  </w:num>
  <w:num w:numId="10" w16cid:durableId="686101842">
    <w:abstractNumId w:val="19"/>
  </w:num>
  <w:num w:numId="11" w16cid:durableId="19472405">
    <w:abstractNumId w:val="4"/>
  </w:num>
  <w:num w:numId="12" w16cid:durableId="1652176949">
    <w:abstractNumId w:val="3"/>
  </w:num>
  <w:num w:numId="13" w16cid:durableId="526791603">
    <w:abstractNumId w:val="31"/>
  </w:num>
  <w:num w:numId="14" w16cid:durableId="993223416">
    <w:abstractNumId w:val="8"/>
  </w:num>
  <w:num w:numId="15" w16cid:durableId="1980454378">
    <w:abstractNumId w:val="9"/>
  </w:num>
  <w:num w:numId="16" w16cid:durableId="655645847">
    <w:abstractNumId w:val="15"/>
  </w:num>
  <w:num w:numId="17" w16cid:durableId="1216240379">
    <w:abstractNumId w:val="27"/>
  </w:num>
  <w:num w:numId="18" w16cid:durableId="1697585656">
    <w:abstractNumId w:val="5"/>
  </w:num>
  <w:num w:numId="19" w16cid:durableId="28914303">
    <w:abstractNumId w:val="26"/>
  </w:num>
  <w:num w:numId="20" w16cid:durableId="1725523747">
    <w:abstractNumId w:val="25"/>
  </w:num>
  <w:num w:numId="21" w16cid:durableId="859930084">
    <w:abstractNumId w:val="29"/>
  </w:num>
  <w:num w:numId="22" w16cid:durableId="1304385224">
    <w:abstractNumId w:val="23"/>
  </w:num>
  <w:num w:numId="23" w16cid:durableId="413359996">
    <w:abstractNumId w:val="0"/>
  </w:num>
  <w:num w:numId="24" w16cid:durableId="49614998">
    <w:abstractNumId w:val="22"/>
  </w:num>
  <w:num w:numId="25" w16cid:durableId="830102874">
    <w:abstractNumId w:val="30"/>
  </w:num>
  <w:num w:numId="26" w16cid:durableId="720129041">
    <w:abstractNumId w:val="2"/>
  </w:num>
  <w:num w:numId="27" w16cid:durableId="729697034">
    <w:abstractNumId w:val="21"/>
  </w:num>
  <w:num w:numId="28" w16cid:durableId="701396009">
    <w:abstractNumId w:val="1"/>
  </w:num>
  <w:num w:numId="29" w16cid:durableId="1054087554">
    <w:abstractNumId w:val="11"/>
  </w:num>
  <w:num w:numId="30" w16cid:durableId="1927228514">
    <w:abstractNumId w:val="18"/>
  </w:num>
  <w:num w:numId="31" w16cid:durableId="1915777338">
    <w:abstractNumId w:val="28"/>
  </w:num>
  <w:num w:numId="32" w16cid:durableId="162938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5B"/>
    <w:rsid w:val="00143158"/>
    <w:rsid w:val="003D6C4E"/>
    <w:rsid w:val="004C11CC"/>
    <w:rsid w:val="005D455B"/>
    <w:rsid w:val="008746A5"/>
    <w:rsid w:val="008D3D73"/>
    <w:rsid w:val="00AE5DF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B3AE"/>
  <w15:chartTrackingRefBased/>
  <w15:docId w15:val="{F1DE8A76-ADA1-4BD3-AE4F-3D6CA9B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55B"/>
    <w:rPr>
      <w:rFonts w:eastAsiaTheme="majorEastAsia" w:cstheme="majorBidi"/>
      <w:color w:val="272727" w:themeColor="text1" w:themeTint="D8"/>
    </w:rPr>
  </w:style>
  <w:style w:type="paragraph" w:styleId="Title">
    <w:name w:val="Title"/>
    <w:basedOn w:val="Normal"/>
    <w:next w:val="Normal"/>
    <w:link w:val="TitleChar"/>
    <w:uiPriority w:val="10"/>
    <w:qFormat/>
    <w:rsid w:val="005D4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55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55B"/>
    <w:pPr>
      <w:spacing w:before="160"/>
      <w:jc w:val="center"/>
    </w:pPr>
    <w:rPr>
      <w:i/>
      <w:iCs/>
      <w:color w:val="404040" w:themeColor="text1" w:themeTint="BF"/>
    </w:rPr>
  </w:style>
  <w:style w:type="character" w:customStyle="1" w:styleId="QuoteChar">
    <w:name w:val="Quote Char"/>
    <w:basedOn w:val="DefaultParagraphFont"/>
    <w:link w:val="Quote"/>
    <w:uiPriority w:val="29"/>
    <w:rsid w:val="005D455B"/>
    <w:rPr>
      <w:i/>
      <w:iCs/>
      <w:color w:val="404040" w:themeColor="text1" w:themeTint="BF"/>
    </w:rPr>
  </w:style>
  <w:style w:type="paragraph" w:styleId="ListParagraph">
    <w:name w:val="List Paragraph"/>
    <w:basedOn w:val="Normal"/>
    <w:uiPriority w:val="34"/>
    <w:qFormat/>
    <w:rsid w:val="005D455B"/>
    <w:pPr>
      <w:ind w:left="720"/>
      <w:contextualSpacing/>
    </w:pPr>
  </w:style>
  <w:style w:type="character" w:styleId="IntenseEmphasis">
    <w:name w:val="Intense Emphasis"/>
    <w:basedOn w:val="DefaultParagraphFont"/>
    <w:uiPriority w:val="21"/>
    <w:qFormat/>
    <w:rsid w:val="005D455B"/>
    <w:rPr>
      <w:i/>
      <w:iCs/>
      <w:color w:val="2F5496" w:themeColor="accent1" w:themeShade="BF"/>
    </w:rPr>
  </w:style>
  <w:style w:type="paragraph" w:styleId="IntenseQuote">
    <w:name w:val="Intense Quote"/>
    <w:basedOn w:val="Normal"/>
    <w:next w:val="Normal"/>
    <w:link w:val="IntenseQuoteChar"/>
    <w:uiPriority w:val="30"/>
    <w:qFormat/>
    <w:rsid w:val="005D4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55B"/>
    <w:rPr>
      <w:i/>
      <w:iCs/>
      <w:color w:val="2F5496" w:themeColor="accent1" w:themeShade="BF"/>
    </w:rPr>
  </w:style>
  <w:style w:type="character" w:styleId="IntenseReference">
    <w:name w:val="Intense Reference"/>
    <w:basedOn w:val="DefaultParagraphFont"/>
    <w:uiPriority w:val="32"/>
    <w:qFormat/>
    <w:rsid w:val="005D4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2025-09-18T04:56:00Z</dcterms:created>
  <dcterms:modified xsi:type="dcterms:W3CDTF">2026-01-17T17:30:00Z</dcterms:modified>
</cp:coreProperties>
</file>