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026B"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Level II Sommelier Certificate</w:t>
      </w:r>
    </w:p>
    <w:p w14:paraId="3800863C"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Intermediate Wine Studies</w:t>
      </w:r>
    </w:p>
    <w:p w14:paraId="072A6A97"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b/>
          <w:bCs/>
          <w:sz w:val="36"/>
          <w:szCs w:val="36"/>
        </w:rPr>
        <w:t>15-Week Semester Format (CMS-Aligned)</w:t>
      </w:r>
    </w:p>
    <w:p w14:paraId="0147DE94"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b/>
          <w:bCs/>
          <w:sz w:val="36"/>
          <w:szCs w:val="36"/>
        </w:rPr>
        <w:t>Program Type:</w:t>
      </w:r>
      <w:r w:rsidRPr="00284483">
        <w:rPr>
          <w:rFonts w:asciiTheme="majorBidi" w:hAnsiTheme="majorBidi" w:cstheme="majorBidi"/>
          <w:sz w:val="36"/>
          <w:szCs w:val="36"/>
        </w:rPr>
        <w:t xml:space="preserve"> Certificate Course – Continuing &amp; Professional Education</w:t>
      </w:r>
      <w:r w:rsidRPr="00284483">
        <w:rPr>
          <w:rFonts w:asciiTheme="majorBidi" w:hAnsiTheme="majorBidi" w:cstheme="majorBidi"/>
          <w:sz w:val="36"/>
          <w:szCs w:val="36"/>
        </w:rPr>
        <w:br/>
      </w:r>
      <w:r w:rsidRPr="00284483">
        <w:rPr>
          <w:rFonts w:asciiTheme="majorBidi" w:hAnsiTheme="majorBidi" w:cstheme="majorBidi"/>
          <w:b/>
          <w:bCs/>
          <w:sz w:val="36"/>
          <w:szCs w:val="36"/>
        </w:rPr>
        <w:t>Duration:</w:t>
      </w:r>
      <w:r w:rsidRPr="00284483">
        <w:rPr>
          <w:rFonts w:asciiTheme="majorBidi" w:hAnsiTheme="majorBidi" w:cstheme="majorBidi"/>
          <w:sz w:val="36"/>
          <w:szCs w:val="36"/>
        </w:rPr>
        <w:t xml:space="preserve"> 15 weeks</w:t>
      </w:r>
      <w:r w:rsidRPr="00284483">
        <w:rPr>
          <w:rFonts w:asciiTheme="majorBidi" w:hAnsiTheme="majorBidi" w:cstheme="majorBidi"/>
          <w:sz w:val="36"/>
          <w:szCs w:val="36"/>
        </w:rPr>
        <w:br/>
      </w:r>
      <w:r w:rsidRPr="00284483">
        <w:rPr>
          <w:rFonts w:asciiTheme="majorBidi" w:hAnsiTheme="majorBidi" w:cstheme="majorBidi"/>
          <w:b/>
          <w:bCs/>
          <w:sz w:val="36"/>
          <w:szCs w:val="36"/>
        </w:rPr>
        <w:t>Format:</w:t>
      </w:r>
      <w:r w:rsidRPr="00284483">
        <w:rPr>
          <w:rFonts w:asciiTheme="majorBidi" w:hAnsiTheme="majorBidi" w:cstheme="majorBidi"/>
          <w:sz w:val="36"/>
          <w:szCs w:val="36"/>
        </w:rPr>
        <w:t xml:space="preserve"> Weekly class session (≈3 hours)</w:t>
      </w:r>
      <w:r w:rsidRPr="00284483">
        <w:rPr>
          <w:rFonts w:asciiTheme="majorBidi" w:hAnsiTheme="majorBidi" w:cstheme="majorBidi"/>
          <w:sz w:val="36"/>
          <w:szCs w:val="36"/>
        </w:rPr>
        <w:br/>
      </w:r>
      <w:r w:rsidRPr="00284483">
        <w:rPr>
          <w:rFonts w:asciiTheme="majorBidi" w:hAnsiTheme="majorBidi" w:cstheme="majorBidi"/>
          <w:b/>
          <w:bCs/>
          <w:sz w:val="36"/>
          <w:szCs w:val="36"/>
        </w:rPr>
        <w:t>Prerequisite:</w:t>
      </w:r>
      <w:r w:rsidRPr="00284483">
        <w:rPr>
          <w:rFonts w:asciiTheme="majorBidi" w:hAnsiTheme="majorBidi" w:cstheme="majorBidi"/>
          <w:sz w:val="36"/>
          <w:szCs w:val="36"/>
        </w:rPr>
        <w:t xml:space="preserve"> Successful completion of Level I or equivalent foundational wine knowledge</w:t>
      </w:r>
    </w:p>
    <w:p w14:paraId="3D327E53"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06304291">
          <v:rect id="_x0000_i1163" style="width:0;height:1.5pt" o:hralign="center" o:hrstd="t" o:hr="t" fillcolor="#a0a0a0" stroked="f"/>
        </w:pict>
      </w:r>
    </w:p>
    <w:p w14:paraId="55251696"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Course Overview</w:t>
      </w:r>
    </w:p>
    <w:p w14:paraId="0AE05508"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Level II builds on foundational tasting and theory skills by introducing structured blind tasting, deeper regional analysis, and professional service standards. Students refine sensory accuracy, expand global wine knowledge, and develop confidence in structured evaluation, guest interaction, and wine recommendation.</w:t>
      </w:r>
    </w:p>
    <w:p w14:paraId="5B2AD3E5"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This course aligns with internationally recognized intermediate sommelier competencies while maintaining an academic, evidence-based approach appropriate for a university setting.</w:t>
      </w:r>
    </w:p>
    <w:p w14:paraId="150FD6AE"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047665C2">
          <v:rect id="_x0000_i1164" style="width:0;height:1.5pt" o:hralign="center" o:hrstd="t" o:hr="t" fillcolor="#a0a0a0" stroked="f"/>
        </w:pict>
      </w:r>
    </w:p>
    <w:p w14:paraId="1BAB8690"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Learning Outcomes</w:t>
      </w:r>
    </w:p>
    <w:p w14:paraId="1E560261"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By the end of Level II, students will be able to:</w:t>
      </w:r>
    </w:p>
    <w:p w14:paraId="64A60253" w14:textId="77777777" w:rsidR="00284483" w:rsidRPr="00284483" w:rsidRDefault="00284483" w:rsidP="00284483">
      <w:pPr>
        <w:numPr>
          <w:ilvl w:val="0"/>
          <w:numId w:val="21"/>
        </w:numPr>
        <w:rPr>
          <w:rFonts w:asciiTheme="majorBidi" w:hAnsiTheme="majorBidi" w:cstheme="majorBidi"/>
          <w:sz w:val="36"/>
          <w:szCs w:val="36"/>
        </w:rPr>
      </w:pPr>
      <w:r w:rsidRPr="00284483">
        <w:rPr>
          <w:rFonts w:asciiTheme="majorBidi" w:hAnsiTheme="majorBidi" w:cstheme="majorBidi"/>
          <w:sz w:val="36"/>
          <w:szCs w:val="36"/>
        </w:rPr>
        <w:t>Perform structured blind tastings using standardized professional grids</w:t>
      </w:r>
    </w:p>
    <w:p w14:paraId="4FB4281B" w14:textId="77777777" w:rsidR="00284483" w:rsidRPr="00284483" w:rsidRDefault="00284483" w:rsidP="00284483">
      <w:pPr>
        <w:numPr>
          <w:ilvl w:val="0"/>
          <w:numId w:val="21"/>
        </w:numPr>
        <w:rPr>
          <w:rFonts w:asciiTheme="majorBidi" w:hAnsiTheme="majorBidi" w:cstheme="majorBidi"/>
          <w:sz w:val="36"/>
          <w:szCs w:val="36"/>
        </w:rPr>
      </w:pPr>
      <w:r w:rsidRPr="00284483">
        <w:rPr>
          <w:rFonts w:asciiTheme="majorBidi" w:hAnsiTheme="majorBidi" w:cstheme="majorBidi"/>
          <w:sz w:val="36"/>
          <w:szCs w:val="36"/>
        </w:rPr>
        <w:t>Identify classic wine styles, regions, and grape varieties through sensory analysis</w:t>
      </w:r>
    </w:p>
    <w:p w14:paraId="4D737A9C" w14:textId="77777777" w:rsidR="00284483" w:rsidRPr="00284483" w:rsidRDefault="00284483" w:rsidP="00284483">
      <w:pPr>
        <w:numPr>
          <w:ilvl w:val="0"/>
          <w:numId w:val="21"/>
        </w:numPr>
        <w:rPr>
          <w:rFonts w:asciiTheme="majorBidi" w:hAnsiTheme="majorBidi" w:cstheme="majorBidi"/>
          <w:sz w:val="36"/>
          <w:szCs w:val="36"/>
        </w:rPr>
      </w:pPr>
      <w:r w:rsidRPr="00284483">
        <w:rPr>
          <w:rFonts w:asciiTheme="majorBidi" w:hAnsiTheme="majorBidi" w:cstheme="majorBidi"/>
          <w:sz w:val="36"/>
          <w:szCs w:val="36"/>
        </w:rPr>
        <w:t>Explain how climate, soil, and winemaking decisions influence wine style</w:t>
      </w:r>
    </w:p>
    <w:p w14:paraId="6233949A" w14:textId="77777777" w:rsidR="00284483" w:rsidRPr="00284483" w:rsidRDefault="00284483" w:rsidP="00284483">
      <w:pPr>
        <w:numPr>
          <w:ilvl w:val="0"/>
          <w:numId w:val="21"/>
        </w:numPr>
        <w:rPr>
          <w:rFonts w:asciiTheme="majorBidi" w:hAnsiTheme="majorBidi" w:cstheme="majorBidi"/>
          <w:sz w:val="36"/>
          <w:szCs w:val="36"/>
        </w:rPr>
      </w:pPr>
      <w:r w:rsidRPr="00284483">
        <w:rPr>
          <w:rFonts w:asciiTheme="majorBidi" w:hAnsiTheme="majorBidi" w:cstheme="majorBidi"/>
          <w:sz w:val="36"/>
          <w:szCs w:val="36"/>
        </w:rPr>
        <w:t>Demonstrate professional wine service techniques and etiquette</w:t>
      </w:r>
    </w:p>
    <w:p w14:paraId="6FD8C14B" w14:textId="77777777" w:rsidR="00284483" w:rsidRPr="00284483" w:rsidRDefault="00284483" w:rsidP="00284483">
      <w:pPr>
        <w:numPr>
          <w:ilvl w:val="0"/>
          <w:numId w:val="21"/>
        </w:numPr>
        <w:rPr>
          <w:rFonts w:asciiTheme="majorBidi" w:hAnsiTheme="majorBidi" w:cstheme="majorBidi"/>
          <w:sz w:val="36"/>
          <w:szCs w:val="36"/>
        </w:rPr>
      </w:pPr>
      <w:r w:rsidRPr="00284483">
        <w:rPr>
          <w:rFonts w:asciiTheme="majorBidi" w:hAnsiTheme="majorBidi" w:cstheme="majorBidi"/>
          <w:sz w:val="36"/>
          <w:szCs w:val="36"/>
        </w:rPr>
        <w:t>Communicate wine knowledge clearly in hospitality and consumer contexts</w:t>
      </w:r>
    </w:p>
    <w:p w14:paraId="697C42EB" w14:textId="77777777" w:rsidR="00284483" w:rsidRPr="00284483" w:rsidRDefault="00284483" w:rsidP="00284483">
      <w:pPr>
        <w:numPr>
          <w:ilvl w:val="0"/>
          <w:numId w:val="21"/>
        </w:numPr>
        <w:rPr>
          <w:rFonts w:asciiTheme="majorBidi" w:hAnsiTheme="majorBidi" w:cstheme="majorBidi"/>
          <w:sz w:val="36"/>
          <w:szCs w:val="36"/>
        </w:rPr>
      </w:pPr>
      <w:r w:rsidRPr="00284483">
        <w:rPr>
          <w:rFonts w:asciiTheme="majorBidi" w:hAnsiTheme="majorBidi" w:cstheme="majorBidi"/>
          <w:sz w:val="36"/>
          <w:szCs w:val="36"/>
        </w:rPr>
        <w:t>Prepare for intermediate-level professional examinations or advanced study</w:t>
      </w:r>
    </w:p>
    <w:p w14:paraId="5F202821"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4D2A75FA">
          <v:rect id="_x0000_i1165" style="width:0;height:1.5pt" o:hralign="center" o:hrstd="t" o:hr="t" fillcolor="#a0a0a0" stroked="f"/>
        </w:pict>
      </w:r>
    </w:p>
    <w:p w14:paraId="6FB0765E"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Weekly Course Structure (15 Weeks)</w:t>
      </w:r>
    </w:p>
    <w:p w14:paraId="5FB9E211"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1 – Calibration and Review of Level I Foundations</w:t>
      </w:r>
    </w:p>
    <w:p w14:paraId="792291FF"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Review of tasting structure, aroma families, balance, and fault recognition.</w:t>
      </w:r>
      <w:r w:rsidRPr="00284483">
        <w:rPr>
          <w:rFonts w:asciiTheme="majorBidi" w:hAnsiTheme="majorBidi" w:cstheme="majorBidi"/>
          <w:sz w:val="36"/>
          <w:szCs w:val="36"/>
        </w:rPr>
        <w:br/>
      </w:r>
      <w:r w:rsidRPr="00284483">
        <w:rPr>
          <w:rFonts w:asciiTheme="majorBidi" w:hAnsiTheme="majorBidi" w:cstheme="majorBidi"/>
          <w:i/>
          <w:iCs/>
          <w:sz w:val="36"/>
          <w:szCs w:val="36"/>
        </w:rPr>
        <w:t>Tasting:</w:t>
      </w:r>
      <w:r w:rsidRPr="00284483">
        <w:rPr>
          <w:rFonts w:asciiTheme="majorBidi" w:hAnsiTheme="majorBidi" w:cstheme="majorBidi"/>
          <w:sz w:val="36"/>
          <w:szCs w:val="36"/>
        </w:rPr>
        <w:t xml:space="preserve"> Benchmark white and red calibration wines</w:t>
      </w:r>
    </w:p>
    <w:p w14:paraId="3E47CC16"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70FCE1FE">
          <v:rect id="_x0000_i1166" style="width:0;height:1.5pt" o:hralign="center" o:hrstd="t" o:hr="t" fillcolor="#a0a0a0" stroked="f"/>
        </w:pict>
      </w:r>
    </w:p>
    <w:p w14:paraId="636D49EC"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2 – France I: Bordeaux and Burgundy (Intermediate Focus)</w:t>
      </w:r>
    </w:p>
    <w:p w14:paraId="72B9CC15"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Left Bank vs Right Bank Bordeaux. Burgundy hierarchy and site expression.</w:t>
      </w:r>
      <w:r w:rsidRPr="00284483">
        <w:rPr>
          <w:rFonts w:asciiTheme="majorBidi" w:hAnsiTheme="majorBidi" w:cstheme="majorBidi"/>
          <w:sz w:val="36"/>
          <w:szCs w:val="36"/>
        </w:rPr>
        <w:br/>
      </w:r>
      <w:r w:rsidRPr="00284483">
        <w:rPr>
          <w:rFonts w:asciiTheme="majorBidi" w:hAnsiTheme="majorBidi" w:cstheme="majorBidi"/>
          <w:i/>
          <w:iCs/>
          <w:sz w:val="36"/>
          <w:szCs w:val="36"/>
        </w:rPr>
        <w:t>Tasting:</w:t>
      </w:r>
      <w:r w:rsidRPr="00284483">
        <w:rPr>
          <w:rFonts w:asciiTheme="majorBidi" w:hAnsiTheme="majorBidi" w:cstheme="majorBidi"/>
          <w:sz w:val="36"/>
          <w:szCs w:val="36"/>
        </w:rPr>
        <w:t xml:space="preserve"> Bordeaux blend comparison and Burgundy Pinot Noir</w:t>
      </w:r>
    </w:p>
    <w:p w14:paraId="5CD72A4D"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3076B5E0">
          <v:rect id="_x0000_i1167" style="width:0;height:1.5pt" o:hralign="center" o:hrstd="t" o:hr="t" fillcolor="#a0a0a0" stroked="f"/>
        </w:pict>
      </w:r>
    </w:p>
    <w:p w14:paraId="457EC2BC"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3 – France II: Rhône Valley and Loire Valley</w:t>
      </w:r>
    </w:p>
    <w:p w14:paraId="2B017C51"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Northern vs Southern Rhône. Chenin Blanc and Sauvignon Blanc expression.</w:t>
      </w:r>
      <w:r w:rsidRPr="00284483">
        <w:rPr>
          <w:rFonts w:asciiTheme="majorBidi" w:hAnsiTheme="majorBidi" w:cstheme="majorBidi"/>
          <w:sz w:val="36"/>
          <w:szCs w:val="36"/>
        </w:rPr>
        <w:br/>
      </w:r>
      <w:r w:rsidRPr="00284483">
        <w:rPr>
          <w:rFonts w:asciiTheme="majorBidi" w:hAnsiTheme="majorBidi" w:cstheme="majorBidi"/>
          <w:i/>
          <w:iCs/>
          <w:sz w:val="36"/>
          <w:szCs w:val="36"/>
        </w:rPr>
        <w:t>Tasting:</w:t>
      </w:r>
      <w:r w:rsidRPr="00284483">
        <w:rPr>
          <w:rFonts w:asciiTheme="majorBidi" w:hAnsiTheme="majorBidi" w:cstheme="majorBidi"/>
          <w:sz w:val="36"/>
          <w:szCs w:val="36"/>
        </w:rPr>
        <w:t xml:space="preserve"> Rhône Syrah vs Grenache blend, Loire white</w:t>
      </w:r>
    </w:p>
    <w:p w14:paraId="730AF6FB"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552C1BBB">
          <v:rect id="_x0000_i1168" style="width:0;height:1.5pt" o:hralign="center" o:hrstd="t" o:hr="t" fillcolor="#a0a0a0" stroked="f"/>
        </w:pict>
      </w:r>
    </w:p>
    <w:p w14:paraId="06B1E6EF"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4 – Italy I: Northern and Central Italy</w:t>
      </w:r>
    </w:p>
    <w:p w14:paraId="71F51A17"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Piedmont, Veneto, and Tuscany in depth.</w:t>
      </w:r>
      <w:r w:rsidRPr="00284483">
        <w:rPr>
          <w:rFonts w:asciiTheme="majorBidi" w:hAnsiTheme="majorBidi" w:cstheme="majorBidi"/>
          <w:sz w:val="36"/>
          <w:szCs w:val="36"/>
        </w:rPr>
        <w:br/>
      </w:r>
      <w:r w:rsidRPr="00284483">
        <w:rPr>
          <w:rFonts w:asciiTheme="majorBidi" w:hAnsiTheme="majorBidi" w:cstheme="majorBidi"/>
          <w:i/>
          <w:iCs/>
          <w:sz w:val="36"/>
          <w:szCs w:val="36"/>
        </w:rPr>
        <w:t>Tasting:</w:t>
      </w:r>
      <w:r w:rsidRPr="00284483">
        <w:rPr>
          <w:rFonts w:asciiTheme="majorBidi" w:hAnsiTheme="majorBidi" w:cstheme="majorBidi"/>
          <w:sz w:val="36"/>
          <w:szCs w:val="36"/>
        </w:rPr>
        <w:t xml:space="preserve"> Barolo or Barbaresco (benchmark), Chianti Classico Riserva</w:t>
      </w:r>
    </w:p>
    <w:p w14:paraId="62F6D831"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1830A81B">
          <v:rect id="_x0000_i1169" style="width:0;height:1.5pt" o:hralign="center" o:hrstd="t" o:hr="t" fillcolor="#a0a0a0" stroked="f"/>
        </w:pict>
      </w:r>
    </w:p>
    <w:p w14:paraId="32D0C91C"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5 – Italy II: Southern Italy and Islands</w:t>
      </w:r>
    </w:p>
    <w:p w14:paraId="0EC013F0"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Volcanic soils, indigenous varieties, and Mediterranean influence.</w:t>
      </w:r>
      <w:r w:rsidRPr="00284483">
        <w:rPr>
          <w:rFonts w:asciiTheme="majorBidi" w:hAnsiTheme="majorBidi" w:cstheme="majorBidi"/>
          <w:sz w:val="36"/>
          <w:szCs w:val="36"/>
        </w:rPr>
        <w:br/>
      </w:r>
      <w:r w:rsidRPr="00284483">
        <w:rPr>
          <w:rFonts w:asciiTheme="majorBidi" w:hAnsiTheme="majorBidi" w:cstheme="majorBidi"/>
          <w:i/>
          <w:iCs/>
          <w:sz w:val="36"/>
          <w:szCs w:val="36"/>
        </w:rPr>
        <w:t>Tasting:</w:t>
      </w:r>
      <w:r w:rsidRPr="00284483">
        <w:rPr>
          <w:rFonts w:asciiTheme="majorBidi" w:hAnsiTheme="majorBidi" w:cstheme="majorBidi"/>
          <w:sz w:val="36"/>
          <w:szCs w:val="36"/>
        </w:rPr>
        <w:t xml:space="preserve"> Etna Rosso or Aglianico, Sicilian white</w:t>
      </w:r>
    </w:p>
    <w:p w14:paraId="79C98CB7"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1DADDF1D">
          <v:rect id="_x0000_i1170" style="width:0;height:1.5pt" o:hralign="center" o:hrstd="t" o:hr="t" fillcolor="#a0a0a0" stroked="f"/>
        </w:pict>
      </w:r>
    </w:p>
    <w:p w14:paraId="442840F7"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6 – Spain and Portugal</w:t>
      </w:r>
    </w:p>
    <w:p w14:paraId="57512091"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Rioja aging classifications, Ribera del Duero, and fortified wine fundamentals.</w:t>
      </w:r>
      <w:r w:rsidRPr="00284483">
        <w:rPr>
          <w:rFonts w:asciiTheme="majorBidi" w:hAnsiTheme="majorBidi" w:cstheme="majorBidi"/>
          <w:sz w:val="36"/>
          <w:szCs w:val="36"/>
        </w:rPr>
        <w:br/>
      </w:r>
      <w:r w:rsidRPr="00284483">
        <w:rPr>
          <w:rFonts w:asciiTheme="majorBidi" w:hAnsiTheme="majorBidi" w:cstheme="majorBidi"/>
          <w:i/>
          <w:iCs/>
          <w:sz w:val="36"/>
          <w:szCs w:val="36"/>
        </w:rPr>
        <w:t>Tasting:</w:t>
      </w:r>
      <w:r w:rsidRPr="00284483">
        <w:rPr>
          <w:rFonts w:asciiTheme="majorBidi" w:hAnsiTheme="majorBidi" w:cstheme="majorBidi"/>
          <w:sz w:val="36"/>
          <w:szCs w:val="36"/>
        </w:rPr>
        <w:t xml:space="preserve"> Rioja </w:t>
      </w:r>
      <w:proofErr w:type="spellStart"/>
      <w:r w:rsidRPr="00284483">
        <w:rPr>
          <w:rFonts w:asciiTheme="majorBidi" w:hAnsiTheme="majorBidi" w:cstheme="majorBidi"/>
          <w:sz w:val="36"/>
          <w:szCs w:val="36"/>
        </w:rPr>
        <w:t>Reserva</w:t>
      </w:r>
      <w:proofErr w:type="spellEnd"/>
      <w:r w:rsidRPr="00284483">
        <w:rPr>
          <w:rFonts w:asciiTheme="majorBidi" w:hAnsiTheme="majorBidi" w:cstheme="majorBidi"/>
          <w:sz w:val="36"/>
          <w:szCs w:val="36"/>
        </w:rPr>
        <w:t>, Douro red, Tawny or Ruby Port</w:t>
      </w:r>
    </w:p>
    <w:p w14:paraId="5E5B3689"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32552411">
          <v:rect id="_x0000_i1171" style="width:0;height:1.5pt" o:hralign="center" o:hrstd="t" o:hr="t" fillcolor="#a0a0a0" stroked="f"/>
        </w:pict>
      </w:r>
    </w:p>
    <w:p w14:paraId="6C481A21"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7 – Germany and Austria</w:t>
      </w:r>
    </w:p>
    <w:p w14:paraId="251F6790"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Sweetness perception, ripeness, and precision.</w:t>
      </w:r>
      <w:r w:rsidRPr="00284483">
        <w:rPr>
          <w:rFonts w:asciiTheme="majorBidi" w:hAnsiTheme="majorBidi" w:cstheme="majorBidi"/>
          <w:sz w:val="36"/>
          <w:szCs w:val="36"/>
        </w:rPr>
        <w:br/>
      </w:r>
      <w:r w:rsidRPr="00284483">
        <w:rPr>
          <w:rFonts w:asciiTheme="majorBidi" w:hAnsiTheme="majorBidi" w:cstheme="majorBidi"/>
          <w:i/>
          <w:iCs/>
          <w:sz w:val="36"/>
          <w:szCs w:val="36"/>
        </w:rPr>
        <w:t>Tasting:</w:t>
      </w:r>
      <w:r w:rsidRPr="00284483">
        <w:rPr>
          <w:rFonts w:asciiTheme="majorBidi" w:hAnsiTheme="majorBidi" w:cstheme="majorBidi"/>
          <w:sz w:val="36"/>
          <w:szCs w:val="36"/>
        </w:rPr>
        <w:t xml:space="preserve"> Riesling Kabinett, Riesling </w:t>
      </w:r>
      <w:proofErr w:type="spellStart"/>
      <w:r w:rsidRPr="00284483">
        <w:rPr>
          <w:rFonts w:asciiTheme="majorBidi" w:hAnsiTheme="majorBidi" w:cstheme="majorBidi"/>
          <w:sz w:val="36"/>
          <w:szCs w:val="36"/>
        </w:rPr>
        <w:t>Trocken</w:t>
      </w:r>
      <w:proofErr w:type="spellEnd"/>
      <w:r w:rsidRPr="00284483">
        <w:rPr>
          <w:rFonts w:asciiTheme="majorBidi" w:hAnsiTheme="majorBidi" w:cstheme="majorBidi"/>
          <w:sz w:val="36"/>
          <w:szCs w:val="36"/>
        </w:rPr>
        <w:t>, Grüner Veltliner</w:t>
      </w:r>
    </w:p>
    <w:p w14:paraId="40D4D7A7"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0755736D">
          <v:rect id="_x0000_i1172" style="width:0;height:1.5pt" o:hralign="center" o:hrstd="t" o:hr="t" fillcolor="#a0a0a0" stroked="f"/>
        </w:pict>
      </w:r>
    </w:p>
    <w:p w14:paraId="4062016D"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8 – Midterm Assessment and Review</w:t>
      </w:r>
    </w:p>
    <w:p w14:paraId="0ADD91AF"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b/>
          <w:bCs/>
          <w:sz w:val="36"/>
          <w:szCs w:val="36"/>
        </w:rPr>
        <w:t>Formal midterm assessment</w:t>
      </w:r>
    </w:p>
    <w:p w14:paraId="712AAD4E" w14:textId="77777777" w:rsidR="00284483" w:rsidRPr="00284483" w:rsidRDefault="00284483" w:rsidP="00284483">
      <w:pPr>
        <w:numPr>
          <w:ilvl w:val="0"/>
          <w:numId w:val="22"/>
        </w:numPr>
        <w:rPr>
          <w:rFonts w:asciiTheme="majorBidi" w:hAnsiTheme="majorBidi" w:cstheme="majorBidi"/>
          <w:sz w:val="36"/>
          <w:szCs w:val="36"/>
        </w:rPr>
      </w:pPr>
      <w:r w:rsidRPr="00284483">
        <w:rPr>
          <w:rFonts w:asciiTheme="majorBidi" w:hAnsiTheme="majorBidi" w:cstheme="majorBidi"/>
          <w:sz w:val="36"/>
          <w:szCs w:val="36"/>
        </w:rPr>
        <w:t>Written theory examination</w:t>
      </w:r>
    </w:p>
    <w:p w14:paraId="0D477529" w14:textId="77777777" w:rsidR="00284483" w:rsidRPr="00284483" w:rsidRDefault="00284483" w:rsidP="00284483">
      <w:pPr>
        <w:numPr>
          <w:ilvl w:val="0"/>
          <w:numId w:val="22"/>
        </w:numPr>
        <w:rPr>
          <w:rFonts w:asciiTheme="majorBidi" w:hAnsiTheme="majorBidi" w:cstheme="majorBidi"/>
          <w:sz w:val="36"/>
          <w:szCs w:val="36"/>
        </w:rPr>
      </w:pPr>
      <w:r w:rsidRPr="00284483">
        <w:rPr>
          <w:rFonts w:asciiTheme="majorBidi" w:hAnsiTheme="majorBidi" w:cstheme="majorBidi"/>
          <w:sz w:val="36"/>
          <w:szCs w:val="36"/>
        </w:rPr>
        <w:t xml:space="preserve">Structured </w:t>
      </w:r>
      <w:r w:rsidRPr="00284483">
        <w:rPr>
          <w:rFonts w:asciiTheme="majorBidi" w:hAnsiTheme="majorBidi" w:cstheme="majorBidi"/>
          <w:b/>
          <w:bCs/>
          <w:sz w:val="36"/>
          <w:szCs w:val="36"/>
        </w:rPr>
        <w:t>two-wine blind tasting</w:t>
      </w:r>
    </w:p>
    <w:p w14:paraId="0966680F"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Focus on accuracy, terminology, and analytical clarity rather than speed.</w:t>
      </w:r>
    </w:p>
    <w:p w14:paraId="38B2C9D6"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7439C881">
          <v:rect id="_x0000_i1173" style="width:0;height:1.5pt" o:hralign="center" o:hrstd="t" o:hr="t" fillcolor="#a0a0a0" stroked="f"/>
        </w:pict>
      </w:r>
    </w:p>
    <w:p w14:paraId="3DF5EE09"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9 – United States I: California</w:t>
      </w:r>
    </w:p>
    <w:p w14:paraId="1EB99A33"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Regional distinctions and oak integration.</w:t>
      </w:r>
      <w:r w:rsidRPr="00284483">
        <w:rPr>
          <w:rFonts w:asciiTheme="majorBidi" w:hAnsiTheme="majorBidi" w:cstheme="majorBidi"/>
          <w:sz w:val="36"/>
          <w:szCs w:val="36"/>
        </w:rPr>
        <w:br/>
      </w:r>
      <w:r w:rsidRPr="00284483">
        <w:rPr>
          <w:rFonts w:asciiTheme="majorBidi" w:hAnsiTheme="majorBidi" w:cstheme="majorBidi"/>
          <w:i/>
          <w:iCs/>
          <w:sz w:val="36"/>
          <w:szCs w:val="36"/>
        </w:rPr>
        <w:t>Tasting:</w:t>
      </w:r>
      <w:r w:rsidRPr="00284483">
        <w:rPr>
          <w:rFonts w:asciiTheme="majorBidi" w:hAnsiTheme="majorBidi" w:cstheme="majorBidi"/>
          <w:sz w:val="36"/>
          <w:szCs w:val="36"/>
        </w:rPr>
        <w:t xml:space="preserve"> Napa Valley Cabernet Sauvignon, Sonoma Coast Pinot Noir</w:t>
      </w:r>
    </w:p>
    <w:p w14:paraId="515D6294"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67CDE7A2">
          <v:rect id="_x0000_i1174" style="width:0;height:1.5pt" o:hralign="center" o:hrstd="t" o:hr="t" fillcolor="#a0a0a0" stroked="f"/>
        </w:pict>
      </w:r>
    </w:p>
    <w:p w14:paraId="069BAF9F"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10 – United States II: Oregon and Washington</w:t>
      </w:r>
    </w:p>
    <w:p w14:paraId="1DAD10CD"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Cool-climate expression and structural contrast.</w:t>
      </w:r>
      <w:r w:rsidRPr="00284483">
        <w:rPr>
          <w:rFonts w:asciiTheme="majorBidi" w:hAnsiTheme="majorBidi" w:cstheme="majorBidi"/>
          <w:sz w:val="36"/>
          <w:szCs w:val="36"/>
        </w:rPr>
        <w:br/>
      </w:r>
      <w:r w:rsidRPr="00284483">
        <w:rPr>
          <w:rFonts w:asciiTheme="majorBidi" w:hAnsiTheme="majorBidi" w:cstheme="majorBidi"/>
          <w:i/>
          <w:iCs/>
          <w:sz w:val="36"/>
          <w:szCs w:val="36"/>
        </w:rPr>
        <w:t>Tasting:</w:t>
      </w:r>
      <w:r w:rsidRPr="00284483">
        <w:rPr>
          <w:rFonts w:asciiTheme="majorBidi" w:hAnsiTheme="majorBidi" w:cstheme="majorBidi"/>
          <w:sz w:val="36"/>
          <w:szCs w:val="36"/>
        </w:rPr>
        <w:t xml:space="preserve"> Willamette Valley Pinot Noir, Columbia Valley Syrah</w:t>
      </w:r>
    </w:p>
    <w:p w14:paraId="136A3821"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613C2BE8">
          <v:rect id="_x0000_i1175" style="width:0;height:1.5pt" o:hralign="center" o:hrstd="t" o:hr="t" fillcolor="#a0a0a0" stroked="f"/>
        </w:pict>
      </w:r>
    </w:p>
    <w:p w14:paraId="6CF8118B"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11 – Eastern Europe and Mediterranean Classics</w:t>
      </w:r>
    </w:p>
    <w:p w14:paraId="03C5ED3F"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Selective exposure to historically significant and emerging styles.</w:t>
      </w:r>
      <w:r w:rsidRPr="00284483">
        <w:rPr>
          <w:rFonts w:asciiTheme="majorBidi" w:hAnsiTheme="majorBidi" w:cstheme="majorBidi"/>
          <w:sz w:val="36"/>
          <w:szCs w:val="36"/>
        </w:rPr>
        <w:br/>
      </w:r>
      <w:r w:rsidRPr="00284483">
        <w:rPr>
          <w:rFonts w:asciiTheme="majorBidi" w:hAnsiTheme="majorBidi" w:cstheme="majorBidi"/>
          <w:i/>
          <w:iCs/>
          <w:sz w:val="36"/>
          <w:szCs w:val="36"/>
        </w:rPr>
        <w:t>Tasting:</w:t>
      </w:r>
      <w:r w:rsidRPr="00284483">
        <w:rPr>
          <w:rFonts w:asciiTheme="majorBidi" w:hAnsiTheme="majorBidi" w:cstheme="majorBidi"/>
          <w:sz w:val="36"/>
          <w:szCs w:val="36"/>
        </w:rPr>
        <w:t xml:space="preserve"> Tokaji (dry or sweet), Assyrtiko (Santorini), Georgian qvevri wine</w:t>
      </w:r>
    </w:p>
    <w:p w14:paraId="5B2B4527"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5C6D5F5C">
          <v:rect id="_x0000_i1176" style="width:0;height:1.5pt" o:hralign="center" o:hrstd="t" o:hr="t" fillcolor="#a0a0a0" stroked="f"/>
        </w:pict>
      </w:r>
    </w:p>
    <w:p w14:paraId="2608DD02"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12 – Southern Hemisphere I: Australia and New Zealand</w:t>
      </w:r>
    </w:p>
    <w:p w14:paraId="3D136886"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Climate extremes and varietal identity.</w:t>
      </w:r>
      <w:r w:rsidRPr="00284483">
        <w:rPr>
          <w:rFonts w:asciiTheme="majorBidi" w:hAnsiTheme="majorBidi" w:cstheme="majorBidi"/>
          <w:sz w:val="36"/>
          <w:szCs w:val="36"/>
        </w:rPr>
        <w:br/>
      </w:r>
      <w:r w:rsidRPr="00284483">
        <w:rPr>
          <w:rFonts w:asciiTheme="majorBidi" w:hAnsiTheme="majorBidi" w:cstheme="majorBidi"/>
          <w:i/>
          <w:iCs/>
          <w:sz w:val="36"/>
          <w:szCs w:val="36"/>
        </w:rPr>
        <w:t>Tasting:</w:t>
      </w:r>
      <w:r w:rsidRPr="00284483">
        <w:rPr>
          <w:rFonts w:asciiTheme="majorBidi" w:hAnsiTheme="majorBidi" w:cstheme="majorBidi"/>
          <w:sz w:val="36"/>
          <w:szCs w:val="36"/>
        </w:rPr>
        <w:t xml:space="preserve"> Barossa Shiraz, Margaret River Chardonnay, Marlborough Sauvignon Blanc</w:t>
      </w:r>
    </w:p>
    <w:p w14:paraId="2C9DAB81"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6AF044D4">
          <v:rect id="_x0000_i1177" style="width:0;height:1.5pt" o:hralign="center" o:hrstd="t" o:hr="t" fillcolor="#a0a0a0" stroked="f"/>
        </w:pict>
      </w:r>
    </w:p>
    <w:p w14:paraId="37C95100"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13 – Southern Hemisphere II: South America and South Africa</w:t>
      </w:r>
    </w:p>
    <w:p w14:paraId="41353E5F"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Altitude, ripeness, and structure.</w:t>
      </w:r>
      <w:r w:rsidRPr="00284483">
        <w:rPr>
          <w:rFonts w:asciiTheme="majorBidi" w:hAnsiTheme="majorBidi" w:cstheme="majorBidi"/>
          <w:sz w:val="36"/>
          <w:szCs w:val="36"/>
        </w:rPr>
        <w:br/>
      </w:r>
      <w:r w:rsidRPr="00284483">
        <w:rPr>
          <w:rFonts w:asciiTheme="majorBidi" w:hAnsiTheme="majorBidi" w:cstheme="majorBidi"/>
          <w:i/>
          <w:iCs/>
          <w:sz w:val="36"/>
          <w:szCs w:val="36"/>
        </w:rPr>
        <w:t>Tasting:</w:t>
      </w:r>
      <w:r w:rsidRPr="00284483">
        <w:rPr>
          <w:rFonts w:asciiTheme="majorBidi" w:hAnsiTheme="majorBidi" w:cstheme="majorBidi"/>
          <w:sz w:val="36"/>
          <w:szCs w:val="36"/>
        </w:rPr>
        <w:t xml:space="preserve"> Mendoza Malbec, Maipo Valley Carmenère, Stellenbosch Chenin Blanc</w:t>
      </w:r>
    </w:p>
    <w:p w14:paraId="32A6A664"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1E8D7540">
          <v:rect id="_x0000_i1178" style="width:0;height:1.5pt" o:hralign="center" o:hrstd="t" o:hr="t" fillcolor="#a0a0a0" stroked="f"/>
        </w:pict>
      </w:r>
    </w:p>
    <w:p w14:paraId="3E4A290A"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14 – Professional Communication and Review</w:t>
      </w:r>
    </w:p>
    <w:p w14:paraId="3E152EE3"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Student-led regional or style presentations (short, focused, group-based).</w:t>
      </w:r>
      <w:r w:rsidRPr="00284483">
        <w:rPr>
          <w:rFonts w:asciiTheme="majorBidi" w:hAnsiTheme="majorBidi" w:cstheme="majorBidi"/>
          <w:sz w:val="36"/>
          <w:szCs w:val="36"/>
        </w:rPr>
        <w:br/>
        <w:t>Blind tasting practice and exam preparation.</w:t>
      </w:r>
    </w:p>
    <w:p w14:paraId="4DB49487"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33D7D205">
          <v:rect id="_x0000_i1179" style="width:0;height:1.5pt" o:hralign="center" o:hrstd="t" o:hr="t" fillcolor="#a0a0a0" stroked="f"/>
        </w:pict>
      </w:r>
    </w:p>
    <w:p w14:paraId="23B2E59F"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Week 15 – Final Examination</w:t>
      </w:r>
    </w:p>
    <w:p w14:paraId="211FD1CA" w14:textId="77777777" w:rsidR="00284483" w:rsidRPr="00284483" w:rsidRDefault="00284483" w:rsidP="00284483">
      <w:pPr>
        <w:numPr>
          <w:ilvl w:val="0"/>
          <w:numId w:val="23"/>
        </w:numPr>
        <w:rPr>
          <w:rFonts w:asciiTheme="majorBidi" w:hAnsiTheme="majorBidi" w:cstheme="majorBidi"/>
          <w:sz w:val="36"/>
          <w:szCs w:val="36"/>
        </w:rPr>
      </w:pPr>
      <w:r w:rsidRPr="00284483">
        <w:rPr>
          <w:rFonts w:asciiTheme="majorBidi" w:hAnsiTheme="majorBidi" w:cstheme="majorBidi"/>
          <w:sz w:val="36"/>
          <w:szCs w:val="36"/>
        </w:rPr>
        <w:t>Comprehensive written theory exam</w:t>
      </w:r>
    </w:p>
    <w:p w14:paraId="5CC001BB" w14:textId="77777777" w:rsidR="00284483" w:rsidRPr="00284483" w:rsidRDefault="00284483" w:rsidP="00284483">
      <w:pPr>
        <w:numPr>
          <w:ilvl w:val="0"/>
          <w:numId w:val="23"/>
        </w:numPr>
        <w:rPr>
          <w:rFonts w:asciiTheme="majorBidi" w:hAnsiTheme="majorBidi" w:cstheme="majorBidi"/>
          <w:sz w:val="36"/>
          <w:szCs w:val="36"/>
        </w:rPr>
      </w:pPr>
      <w:r w:rsidRPr="00284483">
        <w:rPr>
          <w:rFonts w:asciiTheme="majorBidi" w:hAnsiTheme="majorBidi" w:cstheme="majorBidi"/>
          <w:b/>
          <w:bCs/>
          <w:sz w:val="36"/>
          <w:szCs w:val="36"/>
        </w:rPr>
        <w:t>Six-wine blind tasting</w:t>
      </w:r>
    </w:p>
    <w:p w14:paraId="4D0F4A7C" w14:textId="77777777" w:rsidR="00284483" w:rsidRPr="00284483" w:rsidRDefault="00284483" w:rsidP="00284483">
      <w:pPr>
        <w:numPr>
          <w:ilvl w:val="0"/>
          <w:numId w:val="23"/>
        </w:numPr>
        <w:rPr>
          <w:rFonts w:asciiTheme="majorBidi" w:hAnsiTheme="majorBidi" w:cstheme="majorBidi"/>
          <w:sz w:val="36"/>
          <w:szCs w:val="36"/>
        </w:rPr>
      </w:pPr>
      <w:r w:rsidRPr="00284483">
        <w:rPr>
          <w:rFonts w:asciiTheme="majorBidi" w:hAnsiTheme="majorBidi" w:cstheme="majorBidi"/>
          <w:sz w:val="36"/>
          <w:szCs w:val="36"/>
        </w:rPr>
        <w:t>Practical service assessment</w:t>
      </w:r>
    </w:p>
    <w:p w14:paraId="5EA951EF"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79A0E560">
          <v:rect id="_x0000_i1180" style="width:0;height:1.5pt" o:hralign="center" o:hrstd="t" o:hr="t" fillcolor="#a0a0a0" stroked="f"/>
        </w:pict>
      </w:r>
    </w:p>
    <w:p w14:paraId="20B92454"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Assessment Breakdown</w:t>
      </w:r>
    </w:p>
    <w:p w14:paraId="79B37092" w14:textId="77777777" w:rsidR="00284483" w:rsidRPr="00284483" w:rsidRDefault="00284483" w:rsidP="00284483">
      <w:pPr>
        <w:numPr>
          <w:ilvl w:val="0"/>
          <w:numId w:val="24"/>
        </w:numPr>
        <w:rPr>
          <w:rFonts w:asciiTheme="majorBidi" w:hAnsiTheme="majorBidi" w:cstheme="majorBidi"/>
          <w:sz w:val="36"/>
          <w:szCs w:val="36"/>
        </w:rPr>
      </w:pPr>
      <w:r w:rsidRPr="00284483">
        <w:rPr>
          <w:rFonts w:asciiTheme="majorBidi" w:hAnsiTheme="majorBidi" w:cstheme="majorBidi"/>
          <w:sz w:val="36"/>
          <w:szCs w:val="36"/>
        </w:rPr>
        <w:t>Written Theory Exams (Midterm + Final): 40%</w:t>
      </w:r>
    </w:p>
    <w:p w14:paraId="73F28ADF" w14:textId="77777777" w:rsidR="00284483" w:rsidRPr="00284483" w:rsidRDefault="00284483" w:rsidP="00284483">
      <w:pPr>
        <w:numPr>
          <w:ilvl w:val="0"/>
          <w:numId w:val="24"/>
        </w:numPr>
        <w:rPr>
          <w:rFonts w:asciiTheme="majorBidi" w:hAnsiTheme="majorBidi" w:cstheme="majorBidi"/>
          <w:sz w:val="36"/>
          <w:szCs w:val="36"/>
        </w:rPr>
      </w:pPr>
      <w:r w:rsidRPr="00284483">
        <w:rPr>
          <w:rFonts w:asciiTheme="majorBidi" w:hAnsiTheme="majorBidi" w:cstheme="majorBidi"/>
          <w:sz w:val="36"/>
          <w:szCs w:val="36"/>
        </w:rPr>
        <w:t>Blind Tasting (Midterm + Final): 30%</w:t>
      </w:r>
    </w:p>
    <w:p w14:paraId="3AC67457" w14:textId="77777777" w:rsidR="00284483" w:rsidRPr="00284483" w:rsidRDefault="00284483" w:rsidP="00284483">
      <w:pPr>
        <w:numPr>
          <w:ilvl w:val="0"/>
          <w:numId w:val="24"/>
        </w:numPr>
        <w:rPr>
          <w:rFonts w:asciiTheme="majorBidi" w:hAnsiTheme="majorBidi" w:cstheme="majorBidi"/>
          <w:sz w:val="36"/>
          <w:szCs w:val="36"/>
        </w:rPr>
      </w:pPr>
      <w:r w:rsidRPr="00284483">
        <w:rPr>
          <w:rFonts w:asciiTheme="majorBidi" w:hAnsiTheme="majorBidi" w:cstheme="majorBidi"/>
          <w:sz w:val="36"/>
          <w:szCs w:val="36"/>
        </w:rPr>
        <w:t>Service Assessment: 20%</w:t>
      </w:r>
    </w:p>
    <w:p w14:paraId="6A69F3A9" w14:textId="77777777" w:rsidR="00284483" w:rsidRPr="00284483" w:rsidRDefault="00284483" w:rsidP="00284483">
      <w:pPr>
        <w:numPr>
          <w:ilvl w:val="0"/>
          <w:numId w:val="24"/>
        </w:numPr>
        <w:rPr>
          <w:rFonts w:asciiTheme="majorBidi" w:hAnsiTheme="majorBidi" w:cstheme="majorBidi"/>
          <w:sz w:val="36"/>
          <w:szCs w:val="36"/>
        </w:rPr>
      </w:pPr>
      <w:r w:rsidRPr="00284483">
        <w:rPr>
          <w:rFonts w:asciiTheme="majorBidi" w:hAnsiTheme="majorBidi" w:cstheme="majorBidi"/>
          <w:sz w:val="36"/>
          <w:szCs w:val="36"/>
        </w:rPr>
        <w:t>Participation and Professional Engagement: 10%</w:t>
      </w:r>
    </w:p>
    <w:p w14:paraId="7DB59439"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b/>
          <w:bCs/>
          <w:sz w:val="36"/>
          <w:szCs w:val="36"/>
        </w:rPr>
        <w:t>Passing Grade:</w:t>
      </w:r>
      <w:r w:rsidRPr="00284483">
        <w:rPr>
          <w:rFonts w:asciiTheme="majorBidi" w:hAnsiTheme="majorBidi" w:cstheme="majorBidi"/>
          <w:sz w:val="36"/>
          <w:szCs w:val="36"/>
        </w:rPr>
        <w:t xml:space="preserve"> 70% overall and in each category</w:t>
      </w:r>
    </w:p>
    <w:p w14:paraId="3A045C3F"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2C8C92BB">
          <v:rect id="_x0000_i1181" style="width:0;height:1.5pt" o:hralign="center" o:hrstd="t" o:hr="t" fillcolor="#a0a0a0" stroked="f"/>
        </w:pict>
      </w:r>
    </w:p>
    <w:p w14:paraId="5453BB5F"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Service Skills Emphasis (Level II)</w:t>
      </w:r>
    </w:p>
    <w:p w14:paraId="2B48073A" w14:textId="77777777" w:rsidR="00284483" w:rsidRPr="00284483" w:rsidRDefault="00284483" w:rsidP="00284483">
      <w:pPr>
        <w:numPr>
          <w:ilvl w:val="0"/>
          <w:numId w:val="25"/>
        </w:numPr>
        <w:rPr>
          <w:rFonts w:asciiTheme="majorBidi" w:hAnsiTheme="majorBidi" w:cstheme="majorBidi"/>
          <w:sz w:val="36"/>
          <w:szCs w:val="36"/>
        </w:rPr>
      </w:pPr>
      <w:r w:rsidRPr="00284483">
        <w:rPr>
          <w:rFonts w:asciiTheme="majorBidi" w:hAnsiTheme="majorBidi" w:cstheme="majorBidi"/>
          <w:sz w:val="36"/>
          <w:szCs w:val="36"/>
        </w:rPr>
        <w:t>Proper opening and pouring techniques</w:t>
      </w:r>
    </w:p>
    <w:p w14:paraId="0549FC23" w14:textId="77777777" w:rsidR="00284483" w:rsidRPr="00284483" w:rsidRDefault="00284483" w:rsidP="00284483">
      <w:pPr>
        <w:numPr>
          <w:ilvl w:val="0"/>
          <w:numId w:val="25"/>
        </w:numPr>
        <w:rPr>
          <w:rFonts w:asciiTheme="majorBidi" w:hAnsiTheme="majorBidi" w:cstheme="majorBidi"/>
          <w:sz w:val="36"/>
          <w:szCs w:val="36"/>
        </w:rPr>
      </w:pPr>
      <w:r w:rsidRPr="00284483">
        <w:rPr>
          <w:rFonts w:asciiTheme="majorBidi" w:hAnsiTheme="majorBidi" w:cstheme="majorBidi"/>
          <w:sz w:val="36"/>
          <w:szCs w:val="36"/>
        </w:rPr>
        <w:t>Decanting fundamentals</w:t>
      </w:r>
    </w:p>
    <w:p w14:paraId="025A89CF" w14:textId="77777777" w:rsidR="00284483" w:rsidRPr="00284483" w:rsidRDefault="00284483" w:rsidP="00284483">
      <w:pPr>
        <w:numPr>
          <w:ilvl w:val="0"/>
          <w:numId w:val="25"/>
        </w:numPr>
        <w:rPr>
          <w:rFonts w:asciiTheme="majorBidi" w:hAnsiTheme="majorBidi" w:cstheme="majorBidi"/>
          <w:sz w:val="36"/>
          <w:szCs w:val="36"/>
        </w:rPr>
      </w:pPr>
      <w:r w:rsidRPr="00284483">
        <w:rPr>
          <w:rFonts w:asciiTheme="majorBidi" w:hAnsiTheme="majorBidi" w:cstheme="majorBidi"/>
          <w:sz w:val="36"/>
          <w:szCs w:val="36"/>
        </w:rPr>
        <w:t>Wine temperature and glassware selection</w:t>
      </w:r>
    </w:p>
    <w:p w14:paraId="66657B6D" w14:textId="77777777" w:rsidR="00284483" w:rsidRPr="00284483" w:rsidRDefault="00284483" w:rsidP="00284483">
      <w:pPr>
        <w:numPr>
          <w:ilvl w:val="0"/>
          <w:numId w:val="25"/>
        </w:numPr>
        <w:rPr>
          <w:rFonts w:asciiTheme="majorBidi" w:hAnsiTheme="majorBidi" w:cstheme="majorBidi"/>
          <w:sz w:val="36"/>
          <w:szCs w:val="36"/>
        </w:rPr>
      </w:pPr>
      <w:r w:rsidRPr="00284483">
        <w:rPr>
          <w:rFonts w:asciiTheme="majorBidi" w:hAnsiTheme="majorBidi" w:cstheme="majorBidi"/>
          <w:sz w:val="36"/>
          <w:szCs w:val="36"/>
        </w:rPr>
        <w:t>Professional guest interaction</w:t>
      </w:r>
    </w:p>
    <w:p w14:paraId="5E3CEB66" w14:textId="77777777" w:rsidR="00284483" w:rsidRPr="00284483" w:rsidRDefault="00284483" w:rsidP="00284483">
      <w:pPr>
        <w:numPr>
          <w:ilvl w:val="0"/>
          <w:numId w:val="25"/>
        </w:numPr>
        <w:rPr>
          <w:rFonts w:asciiTheme="majorBidi" w:hAnsiTheme="majorBidi" w:cstheme="majorBidi"/>
          <w:sz w:val="36"/>
          <w:szCs w:val="36"/>
        </w:rPr>
      </w:pPr>
      <w:r w:rsidRPr="00284483">
        <w:rPr>
          <w:rFonts w:asciiTheme="majorBidi" w:hAnsiTheme="majorBidi" w:cstheme="majorBidi"/>
          <w:sz w:val="36"/>
          <w:szCs w:val="36"/>
        </w:rPr>
        <w:t>Basic wine recommendation scenarios</w:t>
      </w:r>
    </w:p>
    <w:p w14:paraId="621FA0FD"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Service instruction is practical and evaluative, without theatrical or ceremonial focus.</w:t>
      </w:r>
    </w:p>
    <w:p w14:paraId="726FEA31" w14:textId="77777777" w:rsidR="00284483"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pict w14:anchorId="27E5D758">
          <v:rect id="_x0000_i1182" style="width:0;height:1.5pt" o:hralign="center" o:hrstd="t" o:hr="t" fillcolor="#a0a0a0" stroked="f"/>
        </w:pict>
      </w:r>
    </w:p>
    <w:p w14:paraId="4A78434D" w14:textId="77777777" w:rsidR="00284483" w:rsidRPr="00284483" w:rsidRDefault="00284483" w:rsidP="00284483">
      <w:pPr>
        <w:rPr>
          <w:rFonts w:asciiTheme="majorBidi" w:hAnsiTheme="majorBidi" w:cstheme="majorBidi"/>
          <w:b/>
          <w:bCs/>
          <w:sz w:val="36"/>
          <w:szCs w:val="36"/>
        </w:rPr>
      </w:pPr>
      <w:r w:rsidRPr="00284483">
        <w:rPr>
          <w:rFonts w:asciiTheme="majorBidi" w:hAnsiTheme="majorBidi" w:cstheme="majorBidi"/>
          <w:b/>
          <w:bCs/>
          <w:sz w:val="36"/>
          <w:szCs w:val="36"/>
        </w:rPr>
        <w:t>Educational Rationale</w:t>
      </w:r>
    </w:p>
    <w:p w14:paraId="7640478D" w14:textId="1EF7D213" w:rsidR="00FB5B6C" w:rsidRPr="00284483" w:rsidRDefault="00284483" w:rsidP="00284483">
      <w:pPr>
        <w:rPr>
          <w:rFonts w:asciiTheme="majorBidi" w:hAnsiTheme="majorBidi" w:cstheme="majorBidi"/>
          <w:sz w:val="36"/>
          <w:szCs w:val="36"/>
        </w:rPr>
      </w:pPr>
      <w:r w:rsidRPr="00284483">
        <w:rPr>
          <w:rFonts w:asciiTheme="majorBidi" w:hAnsiTheme="majorBidi" w:cstheme="majorBidi"/>
          <w:sz w:val="36"/>
          <w:szCs w:val="36"/>
        </w:rPr>
        <w:t>Level II deepens sensory precision, expands regional literacy, and introduces formal blind tasting under controlled conditions. The course bridges foundational wine knowledge and advanced professional study, preparing students for Level III, advanced certifications, or professional application.</w:t>
      </w:r>
    </w:p>
    <w:sectPr w:rsidR="00FB5B6C" w:rsidRPr="0028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2F6"/>
    <w:multiLevelType w:val="multilevel"/>
    <w:tmpl w:val="8BE0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0FBB"/>
    <w:multiLevelType w:val="multilevel"/>
    <w:tmpl w:val="356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B62CD"/>
    <w:multiLevelType w:val="multilevel"/>
    <w:tmpl w:val="38F0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56AFB"/>
    <w:multiLevelType w:val="multilevel"/>
    <w:tmpl w:val="E6A2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F513D"/>
    <w:multiLevelType w:val="multilevel"/>
    <w:tmpl w:val="8AB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750B3"/>
    <w:multiLevelType w:val="multilevel"/>
    <w:tmpl w:val="5882F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828F8"/>
    <w:multiLevelType w:val="multilevel"/>
    <w:tmpl w:val="CF6C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F5792"/>
    <w:multiLevelType w:val="multilevel"/>
    <w:tmpl w:val="8FE0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77147"/>
    <w:multiLevelType w:val="multilevel"/>
    <w:tmpl w:val="E7AA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978C0"/>
    <w:multiLevelType w:val="multilevel"/>
    <w:tmpl w:val="3C60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92BFE"/>
    <w:multiLevelType w:val="multilevel"/>
    <w:tmpl w:val="CCCC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47C5C"/>
    <w:multiLevelType w:val="multilevel"/>
    <w:tmpl w:val="4F0E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A3D6C"/>
    <w:multiLevelType w:val="multilevel"/>
    <w:tmpl w:val="39F4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355AC"/>
    <w:multiLevelType w:val="multilevel"/>
    <w:tmpl w:val="CF9E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260D27"/>
    <w:multiLevelType w:val="multilevel"/>
    <w:tmpl w:val="818A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B5BFC"/>
    <w:multiLevelType w:val="multilevel"/>
    <w:tmpl w:val="313E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362B7"/>
    <w:multiLevelType w:val="multilevel"/>
    <w:tmpl w:val="8E1C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064E48"/>
    <w:multiLevelType w:val="multilevel"/>
    <w:tmpl w:val="D744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2F2891"/>
    <w:multiLevelType w:val="multilevel"/>
    <w:tmpl w:val="E5CA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117041"/>
    <w:multiLevelType w:val="multilevel"/>
    <w:tmpl w:val="861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554C8D"/>
    <w:multiLevelType w:val="multilevel"/>
    <w:tmpl w:val="E89C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E43996"/>
    <w:multiLevelType w:val="multilevel"/>
    <w:tmpl w:val="C9A4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12648"/>
    <w:multiLevelType w:val="multilevel"/>
    <w:tmpl w:val="876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7737A"/>
    <w:multiLevelType w:val="multilevel"/>
    <w:tmpl w:val="AFB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4044E"/>
    <w:multiLevelType w:val="multilevel"/>
    <w:tmpl w:val="B71E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19024">
    <w:abstractNumId w:val="19"/>
  </w:num>
  <w:num w:numId="2" w16cid:durableId="1345933776">
    <w:abstractNumId w:val="15"/>
  </w:num>
  <w:num w:numId="3" w16cid:durableId="242684620">
    <w:abstractNumId w:val="16"/>
  </w:num>
  <w:num w:numId="4" w16cid:durableId="2133546947">
    <w:abstractNumId w:val="17"/>
  </w:num>
  <w:num w:numId="5" w16cid:durableId="415831908">
    <w:abstractNumId w:val="6"/>
  </w:num>
  <w:num w:numId="6" w16cid:durableId="405152802">
    <w:abstractNumId w:val="4"/>
  </w:num>
  <w:num w:numId="7" w16cid:durableId="354966019">
    <w:abstractNumId w:val="22"/>
  </w:num>
  <w:num w:numId="8" w16cid:durableId="1009792200">
    <w:abstractNumId w:val="23"/>
  </w:num>
  <w:num w:numId="9" w16cid:durableId="263341341">
    <w:abstractNumId w:val="3"/>
  </w:num>
  <w:num w:numId="10" w16cid:durableId="1229729826">
    <w:abstractNumId w:val="7"/>
  </w:num>
  <w:num w:numId="11" w16cid:durableId="2075278654">
    <w:abstractNumId w:val="12"/>
  </w:num>
  <w:num w:numId="12" w16cid:durableId="1471900495">
    <w:abstractNumId w:val="8"/>
  </w:num>
  <w:num w:numId="13" w16cid:durableId="1935434860">
    <w:abstractNumId w:val="1"/>
  </w:num>
  <w:num w:numId="14" w16cid:durableId="150952306">
    <w:abstractNumId w:val="18"/>
  </w:num>
  <w:num w:numId="15" w16cid:durableId="2025016853">
    <w:abstractNumId w:val="9"/>
  </w:num>
  <w:num w:numId="16" w16cid:durableId="94398683">
    <w:abstractNumId w:val="10"/>
  </w:num>
  <w:num w:numId="17" w16cid:durableId="2060086391">
    <w:abstractNumId w:val="20"/>
  </w:num>
  <w:num w:numId="18" w16cid:durableId="1021854791">
    <w:abstractNumId w:val="21"/>
  </w:num>
  <w:num w:numId="19" w16cid:durableId="100340263">
    <w:abstractNumId w:val="5"/>
  </w:num>
  <w:num w:numId="20" w16cid:durableId="918517087">
    <w:abstractNumId w:val="2"/>
  </w:num>
  <w:num w:numId="21" w16cid:durableId="883325460">
    <w:abstractNumId w:val="24"/>
  </w:num>
  <w:num w:numId="22" w16cid:durableId="795366633">
    <w:abstractNumId w:val="11"/>
  </w:num>
  <w:num w:numId="23" w16cid:durableId="874392203">
    <w:abstractNumId w:val="13"/>
  </w:num>
  <w:num w:numId="24" w16cid:durableId="2107997265">
    <w:abstractNumId w:val="14"/>
  </w:num>
  <w:num w:numId="25" w16cid:durableId="148786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17"/>
    <w:rsid w:val="00004017"/>
    <w:rsid w:val="00143158"/>
    <w:rsid w:val="00284483"/>
    <w:rsid w:val="003D6C4E"/>
    <w:rsid w:val="003F32FD"/>
    <w:rsid w:val="004C11CC"/>
    <w:rsid w:val="008D3D73"/>
    <w:rsid w:val="00B236DB"/>
    <w:rsid w:val="00BC542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0D9B"/>
  <w15:chartTrackingRefBased/>
  <w15:docId w15:val="{A76BE2A4-3D9D-44D8-AA48-B94F0CC3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0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40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0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0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40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4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0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0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0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0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40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4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017"/>
    <w:rPr>
      <w:rFonts w:eastAsiaTheme="majorEastAsia" w:cstheme="majorBidi"/>
      <w:color w:val="272727" w:themeColor="text1" w:themeTint="D8"/>
    </w:rPr>
  </w:style>
  <w:style w:type="paragraph" w:styleId="Title">
    <w:name w:val="Title"/>
    <w:basedOn w:val="Normal"/>
    <w:next w:val="Normal"/>
    <w:link w:val="TitleChar"/>
    <w:uiPriority w:val="10"/>
    <w:qFormat/>
    <w:rsid w:val="00004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01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017"/>
    <w:pPr>
      <w:spacing w:before="160"/>
      <w:jc w:val="center"/>
    </w:pPr>
    <w:rPr>
      <w:i/>
      <w:iCs/>
      <w:color w:val="404040" w:themeColor="text1" w:themeTint="BF"/>
    </w:rPr>
  </w:style>
  <w:style w:type="character" w:customStyle="1" w:styleId="QuoteChar">
    <w:name w:val="Quote Char"/>
    <w:basedOn w:val="DefaultParagraphFont"/>
    <w:link w:val="Quote"/>
    <w:uiPriority w:val="29"/>
    <w:rsid w:val="00004017"/>
    <w:rPr>
      <w:i/>
      <w:iCs/>
      <w:color w:val="404040" w:themeColor="text1" w:themeTint="BF"/>
    </w:rPr>
  </w:style>
  <w:style w:type="paragraph" w:styleId="ListParagraph">
    <w:name w:val="List Paragraph"/>
    <w:basedOn w:val="Normal"/>
    <w:uiPriority w:val="34"/>
    <w:qFormat/>
    <w:rsid w:val="00004017"/>
    <w:pPr>
      <w:ind w:left="720"/>
      <w:contextualSpacing/>
    </w:pPr>
  </w:style>
  <w:style w:type="character" w:styleId="IntenseEmphasis">
    <w:name w:val="Intense Emphasis"/>
    <w:basedOn w:val="DefaultParagraphFont"/>
    <w:uiPriority w:val="21"/>
    <w:qFormat/>
    <w:rsid w:val="00004017"/>
    <w:rPr>
      <w:i/>
      <w:iCs/>
      <w:color w:val="2F5496" w:themeColor="accent1" w:themeShade="BF"/>
    </w:rPr>
  </w:style>
  <w:style w:type="paragraph" w:styleId="IntenseQuote">
    <w:name w:val="Intense Quote"/>
    <w:basedOn w:val="Normal"/>
    <w:next w:val="Normal"/>
    <w:link w:val="IntenseQuoteChar"/>
    <w:uiPriority w:val="30"/>
    <w:qFormat/>
    <w:rsid w:val="00004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017"/>
    <w:rPr>
      <w:i/>
      <w:iCs/>
      <w:color w:val="2F5496" w:themeColor="accent1" w:themeShade="BF"/>
    </w:rPr>
  </w:style>
  <w:style w:type="character" w:styleId="IntenseReference">
    <w:name w:val="Intense Reference"/>
    <w:basedOn w:val="DefaultParagraphFont"/>
    <w:uiPriority w:val="32"/>
    <w:qFormat/>
    <w:rsid w:val="000040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2025-09-18T04:54:00Z</dcterms:created>
  <dcterms:modified xsi:type="dcterms:W3CDTF">2026-01-17T17:02:00Z</dcterms:modified>
</cp:coreProperties>
</file>