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3F56"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Episode 29 – Grenache: The Generous Grape</w:t>
      </w:r>
    </w:p>
    <w:p w14:paraId="5307A793"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Hi! I’m Marc, and this is WINE IN SMALL SIPS.</w:t>
      </w:r>
    </w:p>
    <w:p w14:paraId="68035863" w14:textId="77777777" w:rsid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Last time, we got serious with Nebbiolo—a pale red with bold tannins and the power to age for decades. </w:t>
      </w:r>
    </w:p>
    <w:p w14:paraId="67B48A5E" w14:textId="1B09F4DC"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Today, we’re moving in a more relaxed, fruit-forward direction with Grenache, or Garnacha if you’re in Spain.</w:t>
      </w:r>
    </w:p>
    <w:p w14:paraId="5E27D4D6" w14:textId="77777777" w:rsid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Grenache is warm, generous, and unpretentious. It’s the grape that shows up to a dinner party with a big smile, ready to please everyone. </w:t>
      </w:r>
    </w:p>
    <w:p w14:paraId="142D1B6E" w14:textId="6362BE35"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Juicy, spicy, and often high in alcohol, it’s one of the world’s most widely planted grapes. And while it’s famous in blends, when Grenache takes center stage, it proves it can hold the spotlight all on its own.</w:t>
      </w:r>
    </w:p>
    <w:p w14:paraId="2182184A"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421F7966">
          <v:rect id="_x0000_i1157" style="width:0;height:1.5pt" o:hralign="center" o:hrstd="t" o:hr="t" fillcolor="#a0a0a0" stroked="f"/>
        </w:pict>
      </w:r>
    </w:p>
    <w:p w14:paraId="16EA93BF"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What Grenache Tastes Like</w:t>
      </w:r>
    </w:p>
    <w:p w14:paraId="2B1F1F41" w14:textId="77777777" w:rsid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Grenache almost always greets you with bright red fruit—strawberries, raspberries, sometimes cherries—layered with white pepper, herbs like thyme or rosemary, and a gentle touch of spice. </w:t>
      </w:r>
    </w:p>
    <w:p w14:paraId="4032B717" w14:textId="391D10ED"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In warmer styles, you might find cinnamon, clove, or even cocoa. With age, leather and dried orange peel can sneak in.</w:t>
      </w:r>
    </w:p>
    <w:p w14:paraId="74A6C9BD"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lastRenderedPageBreak/>
        <w:t>Structurally, Grenache is generous. It’s usually medium to full-bodied, with soft tannins, moderate acidity, and alcohol that often soars above 14%. Think plush, warm, and easy to love.</w:t>
      </w:r>
    </w:p>
    <w:p w14:paraId="3D965670"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4C8106E2">
          <v:rect id="_x0000_i1158" style="width:0;height:1.5pt" o:hralign="center" o:hrstd="t" o:hr="t" fillcolor="#a0a0a0" stroked="f"/>
        </w:pict>
      </w:r>
    </w:p>
    <w:p w14:paraId="4B7EED6A"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Why It Matters</w:t>
      </w:r>
    </w:p>
    <w:p w14:paraId="5F66D678"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Grenache may be approachable, but don’t mistake that for simple. In the right hands it ages beautifully, developing earthy depth without losing its easy charm. It’s also versatile—just as happy headlining a bottle as it is blending with Syrah and Mourvèdre in Southern Rhône’s classic GSM wines.</w:t>
      </w:r>
    </w:p>
    <w:p w14:paraId="073EA711"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Food-wise, Grenache is one of the most flexible reds around. And perhaps best of all? It’s a value grape. Some of the best Garnacha from Spain and Grenache from France or Australia can still be found under $20.</w:t>
      </w:r>
    </w:p>
    <w:p w14:paraId="099BF91E"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0CF1FB39">
          <v:rect id="_x0000_i1159" style="width:0;height:1.5pt" o:hralign="center" o:hrstd="t" o:hr="t" fillcolor="#a0a0a0" stroked="f"/>
        </w:pict>
      </w:r>
    </w:p>
    <w:p w14:paraId="3FB0A161"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Exploring the Styles</w:t>
      </w:r>
    </w:p>
    <w:p w14:paraId="762BE9E4"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In </w:t>
      </w:r>
      <w:r w:rsidRPr="00FE76BF">
        <w:rPr>
          <w:rFonts w:asciiTheme="majorBidi" w:hAnsiTheme="majorBidi" w:cstheme="majorBidi"/>
          <w:b/>
          <w:bCs/>
          <w:sz w:val="36"/>
          <w:szCs w:val="36"/>
        </w:rPr>
        <w:t>Spain</w:t>
      </w:r>
      <w:r w:rsidRPr="00FE76BF">
        <w:rPr>
          <w:rFonts w:asciiTheme="majorBidi" w:hAnsiTheme="majorBidi" w:cstheme="majorBidi"/>
          <w:sz w:val="36"/>
          <w:szCs w:val="36"/>
        </w:rPr>
        <w:t>, where it’s called Garnacha, you’ll find everything from plush and spicy bottles in Aragón’s Campo de Borja—</w:t>
      </w:r>
      <w:proofErr w:type="spellStart"/>
      <w:r w:rsidRPr="00FE76BF">
        <w:rPr>
          <w:rFonts w:asciiTheme="majorBidi" w:hAnsiTheme="majorBidi" w:cstheme="majorBidi"/>
          <w:b/>
          <w:bCs/>
          <w:sz w:val="36"/>
          <w:szCs w:val="36"/>
        </w:rPr>
        <w:t>Borsao</w:t>
      </w:r>
      <w:proofErr w:type="spellEnd"/>
      <w:r w:rsidRPr="00FE76BF">
        <w:rPr>
          <w:rFonts w:asciiTheme="majorBidi" w:hAnsiTheme="majorBidi" w:cstheme="majorBidi"/>
          <w:b/>
          <w:bCs/>
          <w:sz w:val="36"/>
          <w:szCs w:val="36"/>
        </w:rPr>
        <w:t xml:space="preserve"> Tres Picos</w:t>
      </w:r>
      <w:r w:rsidRPr="00FE76BF">
        <w:rPr>
          <w:rFonts w:asciiTheme="majorBidi" w:hAnsiTheme="majorBidi" w:cstheme="majorBidi"/>
          <w:sz w:val="36"/>
          <w:szCs w:val="36"/>
        </w:rPr>
        <w:t xml:space="preserve"> (around $18) is a great example—to serious, mineral-driven blends from Priorat, like </w:t>
      </w:r>
      <w:r w:rsidRPr="00FE76BF">
        <w:rPr>
          <w:rFonts w:asciiTheme="majorBidi" w:hAnsiTheme="majorBidi" w:cstheme="majorBidi"/>
          <w:b/>
          <w:bCs/>
          <w:sz w:val="36"/>
          <w:szCs w:val="36"/>
        </w:rPr>
        <w:t>Clos Erasmus “Laurel”</w:t>
      </w:r>
      <w:r w:rsidRPr="00FE76BF">
        <w:rPr>
          <w:rFonts w:asciiTheme="majorBidi" w:hAnsiTheme="majorBidi" w:cstheme="majorBidi"/>
          <w:sz w:val="36"/>
          <w:szCs w:val="36"/>
        </w:rPr>
        <w:t xml:space="preserve"> (around $45–50).</w:t>
      </w:r>
    </w:p>
    <w:p w14:paraId="0DB8C000"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lastRenderedPageBreak/>
        <w:t xml:space="preserve">In </w:t>
      </w:r>
      <w:r w:rsidRPr="00FE76BF">
        <w:rPr>
          <w:rFonts w:asciiTheme="majorBidi" w:hAnsiTheme="majorBidi" w:cstheme="majorBidi"/>
          <w:b/>
          <w:bCs/>
          <w:sz w:val="36"/>
          <w:szCs w:val="36"/>
        </w:rPr>
        <w:t>Southern Rhône</w:t>
      </w:r>
      <w:r w:rsidRPr="00FE76BF">
        <w:rPr>
          <w:rFonts w:asciiTheme="majorBidi" w:hAnsiTheme="majorBidi" w:cstheme="majorBidi"/>
          <w:sz w:val="36"/>
          <w:szCs w:val="36"/>
        </w:rPr>
        <w:t xml:space="preserve">, Grenache often leads blends. A simple </w:t>
      </w:r>
      <w:proofErr w:type="spellStart"/>
      <w:r w:rsidRPr="00FE76BF">
        <w:rPr>
          <w:rFonts w:asciiTheme="majorBidi" w:hAnsiTheme="majorBidi" w:cstheme="majorBidi"/>
          <w:b/>
          <w:bCs/>
          <w:sz w:val="36"/>
          <w:szCs w:val="36"/>
        </w:rPr>
        <w:t>Guigal</w:t>
      </w:r>
      <w:proofErr w:type="spellEnd"/>
      <w:r w:rsidRPr="00FE76BF">
        <w:rPr>
          <w:rFonts w:asciiTheme="majorBidi" w:hAnsiTheme="majorBidi" w:cstheme="majorBidi"/>
          <w:b/>
          <w:bCs/>
          <w:sz w:val="36"/>
          <w:szCs w:val="36"/>
        </w:rPr>
        <w:t xml:space="preserve"> </w:t>
      </w:r>
      <w:proofErr w:type="spellStart"/>
      <w:r w:rsidRPr="00FE76BF">
        <w:rPr>
          <w:rFonts w:asciiTheme="majorBidi" w:hAnsiTheme="majorBidi" w:cstheme="majorBidi"/>
          <w:b/>
          <w:bCs/>
          <w:sz w:val="36"/>
          <w:szCs w:val="36"/>
        </w:rPr>
        <w:t>Côtes</w:t>
      </w:r>
      <w:proofErr w:type="spellEnd"/>
      <w:r w:rsidRPr="00FE76BF">
        <w:rPr>
          <w:rFonts w:asciiTheme="majorBidi" w:hAnsiTheme="majorBidi" w:cstheme="majorBidi"/>
          <w:b/>
          <w:bCs/>
          <w:sz w:val="36"/>
          <w:szCs w:val="36"/>
        </w:rPr>
        <w:t xml:space="preserve"> du Rhône</w:t>
      </w:r>
      <w:r w:rsidRPr="00FE76BF">
        <w:rPr>
          <w:rFonts w:asciiTheme="majorBidi" w:hAnsiTheme="majorBidi" w:cstheme="majorBidi"/>
          <w:sz w:val="36"/>
          <w:szCs w:val="36"/>
        </w:rPr>
        <w:t xml:space="preserve"> (around $15) delivers rustic cherry, herbs, and lavender, while </w:t>
      </w:r>
      <w:r w:rsidRPr="00FE76BF">
        <w:rPr>
          <w:rFonts w:asciiTheme="majorBidi" w:hAnsiTheme="majorBidi" w:cstheme="majorBidi"/>
          <w:b/>
          <w:bCs/>
          <w:sz w:val="36"/>
          <w:szCs w:val="36"/>
        </w:rPr>
        <w:t xml:space="preserve">Domaine de la </w:t>
      </w:r>
      <w:proofErr w:type="spellStart"/>
      <w:r w:rsidRPr="00FE76BF">
        <w:rPr>
          <w:rFonts w:asciiTheme="majorBidi" w:hAnsiTheme="majorBidi" w:cstheme="majorBidi"/>
          <w:b/>
          <w:bCs/>
          <w:sz w:val="36"/>
          <w:szCs w:val="36"/>
        </w:rPr>
        <w:t>Janasse</w:t>
      </w:r>
      <w:proofErr w:type="spellEnd"/>
      <w:r w:rsidRPr="00FE76BF">
        <w:rPr>
          <w:rFonts w:asciiTheme="majorBidi" w:hAnsiTheme="majorBidi" w:cstheme="majorBidi"/>
          <w:b/>
          <w:bCs/>
          <w:sz w:val="36"/>
          <w:szCs w:val="36"/>
        </w:rPr>
        <w:t xml:space="preserve"> Châteauneuf-du-Pape</w:t>
      </w:r>
      <w:r w:rsidRPr="00FE76BF">
        <w:rPr>
          <w:rFonts w:asciiTheme="majorBidi" w:hAnsiTheme="majorBidi" w:cstheme="majorBidi"/>
          <w:sz w:val="36"/>
          <w:szCs w:val="36"/>
        </w:rPr>
        <w:t xml:space="preserve"> (around $45–60) shows Grenache at its richest and most structured.</w:t>
      </w:r>
    </w:p>
    <w:p w14:paraId="03AA7055"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In </w:t>
      </w:r>
      <w:r w:rsidRPr="00FE76BF">
        <w:rPr>
          <w:rFonts w:asciiTheme="majorBidi" w:hAnsiTheme="majorBidi" w:cstheme="majorBidi"/>
          <w:b/>
          <w:bCs/>
          <w:sz w:val="36"/>
          <w:szCs w:val="36"/>
        </w:rPr>
        <w:t>California</w:t>
      </w:r>
      <w:r w:rsidRPr="00FE76BF">
        <w:rPr>
          <w:rFonts w:asciiTheme="majorBidi" w:hAnsiTheme="majorBidi" w:cstheme="majorBidi"/>
          <w:sz w:val="36"/>
          <w:szCs w:val="36"/>
        </w:rPr>
        <w:t xml:space="preserve">, especially Paso Robles and Santa Barbara, Grenache turns bold and fruit-forward. Expect strawberry jam, cinnamon, and cocoa in wines like </w:t>
      </w:r>
      <w:r w:rsidRPr="00FE76BF">
        <w:rPr>
          <w:rFonts w:asciiTheme="majorBidi" w:hAnsiTheme="majorBidi" w:cstheme="majorBidi"/>
          <w:b/>
          <w:bCs/>
          <w:sz w:val="36"/>
          <w:szCs w:val="36"/>
        </w:rPr>
        <w:t>Sans Liege “The Offering”</w:t>
      </w:r>
      <w:r w:rsidRPr="00FE76BF">
        <w:rPr>
          <w:rFonts w:asciiTheme="majorBidi" w:hAnsiTheme="majorBidi" w:cstheme="majorBidi"/>
          <w:sz w:val="36"/>
          <w:szCs w:val="36"/>
        </w:rPr>
        <w:t xml:space="preserve"> (around $25).</w:t>
      </w:r>
    </w:p>
    <w:p w14:paraId="3CA4266D"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And in </w:t>
      </w:r>
      <w:r w:rsidRPr="00FE76BF">
        <w:rPr>
          <w:rFonts w:asciiTheme="majorBidi" w:hAnsiTheme="majorBidi" w:cstheme="majorBidi"/>
          <w:b/>
          <w:bCs/>
          <w:sz w:val="36"/>
          <w:szCs w:val="36"/>
        </w:rPr>
        <w:t>Australia</w:t>
      </w:r>
      <w:r w:rsidRPr="00FE76BF">
        <w:rPr>
          <w:rFonts w:asciiTheme="majorBidi" w:hAnsiTheme="majorBidi" w:cstheme="majorBidi"/>
          <w:sz w:val="36"/>
          <w:szCs w:val="36"/>
        </w:rPr>
        <w:t xml:space="preserve">, Grenache shines both solo and in GSM blends. </w:t>
      </w:r>
      <w:proofErr w:type="spellStart"/>
      <w:r w:rsidRPr="00FE76BF">
        <w:rPr>
          <w:rFonts w:asciiTheme="majorBidi" w:hAnsiTheme="majorBidi" w:cstheme="majorBidi"/>
          <w:b/>
          <w:bCs/>
          <w:sz w:val="36"/>
          <w:szCs w:val="36"/>
        </w:rPr>
        <w:t>d’Arenberg</w:t>
      </w:r>
      <w:proofErr w:type="spellEnd"/>
      <w:r w:rsidRPr="00FE76BF">
        <w:rPr>
          <w:rFonts w:asciiTheme="majorBidi" w:hAnsiTheme="majorBidi" w:cstheme="majorBidi"/>
          <w:b/>
          <w:bCs/>
          <w:sz w:val="36"/>
          <w:szCs w:val="36"/>
        </w:rPr>
        <w:t xml:space="preserve"> “The Custodian”</w:t>
      </w:r>
      <w:r w:rsidRPr="00FE76BF">
        <w:rPr>
          <w:rFonts w:asciiTheme="majorBidi" w:hAnsiTheme="majorBidi" w:cstheme="majorBidi"/>
          <w:sz w:val="36"/>
          <w:szCs w:val="36"/>
        </w:rPr>
        <w:t xml:space="preserve"> (around $20) captures McLaren Vale’s ripe raspberry, clove, and eucalyptus richness.</w:t>
      </w:r>
    </w:p>
    <w:p w14:paraId="0062EA42"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3A3F7B7F">
          <v:rect id="_x0000_i1160" style="width:0;height:1.5pt" o:hralign="center" o:hrstd="t" o:hr="t" fillcolor="#a0a0a0" stroked="f"/>
        </w:pict>
      </w:r>
    </w:p>
    <w:p w14:paraId="6DC1A477"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Food Pairing: Why Grenache Loves Your Table</w:t>
      </w:r>
    </w:p>
    <w:p w14:paraId="38CF55CE" w14:textId="63FEBB35"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Grenache thrives with grilled and spiced foods. Picture sausages on the barbecue, roast chicken with herbs, or BBQ pork dripping with sauce. </w:t>
      </w:r>
      <w:r>
        <w:rPr>
          <w:rFonts w:asciiTheme="majorBidi" w:hAnsiTheme="majorBidi" w:cstheme="majorBidi"/>
          <w:sz w:val="36"/>
          <w:szCs w:val="36"/>
        </w:rPr>
        <w:br/>
      </w:r>
      <w:r w:rsidRPr="00FE76BF">
        <w:rPr>
          <w:rFonts w:asciiTheme="majorBidi" w:hAnsiTheme="majorBidi" w:cstheme="majorBidi"/>
          <w:sz w:val="36"/>
          <w:szCs w:val="36"/>
        </w:rPr>
        <w:t>Moroccan tagine with fruit and spice? Perfect. Ratatouille or lentils with smoked paprika? Just as good. Its softer tannins make it one of the few reds that also play nicely with tomato-based dishes or mildly spicy cuisine.</w:t>
      </w:r>
    </w:p>
    <w:p w14:paraId="051B8958"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And for cheese lovers, aged Gouda or Manchego will bring out Grenache’s savory side.</w:t>
      </w:r>
    </w:p>
    <w:p w14:paraId="0C70AFB7"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lastRenderedPageBreak/>
        <w:pict w14:anchorId="30717D0C">
          <v:rect id="_x0000_i1161" style="width:0;height:1.5pt" o:hralign="center" o:hrstd="t" o:hr="t" fillcolor="#a0a0a0" stroked="f"/>
        </w:pict>
      </w:r>
    </w:p>
    <w:p w14:paraId="5A11C28A"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Clearing Up the Myths</w:t>
      </w:r>
    </w:p>
    <w:p w14:paraId="766117C6"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“Grenache is boring.”</w:t>
      </w:r>
      <w:r w:rsidRPr="00FE76BF">
        <w:rPr>
          <w:rFonts w:asciiTheme="majorBidi" w:hAnsiTheme="majorBidi" w:cstheme="majorBidi"/>
          <w:sz w:val="36"/>
          <w:szCs w:val="36"/>
        </w:rPr>
        <w:br/>
        <w:t>Hardly. From fun and juicy to age-worthy and serious, it runs the spectrum.</w:t>
      </w:r>
    </w:p>
    <w:p w14:paraId="05D9F980"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“It’s only good in blends.”</w:t>
      </w:r>
      <w:r w:rsidRPr="00FE76BF">
        <w:rPr>
          <w:rFonts w:asciiTheme="majorBidi" w:hAnsiTheme="majorBidi" w:cstheme="majorBidi"/>
          <w:sz w:val="36"/>
          <w:szCs w:val="36"/>
        </w:rPr>
        <w:br/>
        <w:t>Not true—single-varietal Garnacha from Spain and varietal Grenache from California and Australia show how exciting it can be solo.</w:t>
      </w:r>
    </w:p>
    <w:p w14:paraId="16454CA3"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“It’s just a warm-climate grape.”</w:t>
      </w:r>
      <w:r w:rsidRPr="00FE76BF">
        <w:rPr>
          <w:rFonts w:asciiTheme="majorBidi" w:hAnsiTheme="majorBidi" w:cstheme="majorBidi"/>
          <w:sz w:val="36"/>
          <w:szCs w:val="36"/>
        </w:rPr>
        <w:br/>
        <w:t>It loves heat, yes, but cooler-climate Grenache—like some Central Coast examples—can show remarkable finesse.</w:t>
      </w:r>
    </w:p>
    <w:p w14:paraId="7B99D856"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0CD6FAE5">
          <v:rect id="_x0000_i1162" style="width:0;height:1.5pt" o:hralign="center" o:hrstd="t" o:hr="t" fillcolor="#a0a0a0" stroked="f"/>
        </w:pict>
      </w:r>
    </w:p>
    <w:p w14:paraId="580D5440"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A Quick Way to Think About It</w:t>
      </w:r>
    </w:p>
    <w:p w14:paraId="12660294"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Here’s the shortcut: </w:t>
      </w:r>
      <w:r w:rsidRPr="00FE76BF">
        <w:rPr>
          <w:rFonts w:asciiTheme="majorBidi" w:hAnsiTheme="majorBidi" w:cstheme="majorBidi"/>
          <w:b/>
          <w:bCs/>
          <w:sz w:val="36"/>
          <w:szCs w:val="36"/>
        </w:rPr>
        <w:t>Grenache means generosity.</w:t>
      </w:r>
    </w:p>
    <w:p w14:paraId="6E7DADBF"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Generous fruit, generous spice, generous body without harsh tannins. Spain gives it structure, the Rhône makes it rustic and layered, California turns up the fruit, and Australia pushes richness and warmth.</w:t>
      </w:r>
    </w:p>
    <w:p w14:paraId="667F6B40"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2E63EC3F">
          <v:rect id="_x0000_i1163" style="width:0;height:1.5pt" o:hralign="center" o:hrstd="t" o:hr="t" fillcolor="#a0a0a0" stroked="f"/>
        </w:pict>
      </w:r>
    </w:p>
    <w:p w14:paraId="4142619F"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Wine Enthusiast Alert</w:t>
      </w:r>
    </w:p>
    <w:p w14:paraId="2AA7F5C4"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 xml:space="preserve">Grenache has quirks worth knowing. Some of the oldest Grenache vines in the world are still producing in </w:t>
      </w:r>
      <w:r w:rsidRPr="00FE76BF">
        <w:rPr>
          <w:rFonts w:asciiTheme="majorBidi" w:hAnsiTheme="majorBidi" w:cstheme="majorBidi"/>
          <w:sz w:val="36"/>
          <w:szCs w:val="36"/>
        </w:rPr>
        <w:lastRenderedPageBreak/>
        <w:t xml:space="preserve">Australia—many over a century old. There’s also </w:t>
      </w:r>
      <w:r w:rsidRPr="00FE76BF">
        <w:rPr>
          <w:rFonts w:asciiTheme="majorBidi" w:hAnsiTheme="majorBidi" w:cstheme="majorBidi"/>
          <w:b/>
          <w:bCs/>
          <w:sz w:val="36"/>
          <w:szCs w:val="36"/>
        </w:rPr>
        <w:t>Grenache Blanc</w:t>
      </w:r>
      <w:r w:rsidRPr="00FE76BF">
        <w:rPr>
          <w:rFonts w:asciiTheme="majorBidi" w:hAnsiTheme="majorBidi" w:cstheme="majorBidi"/>
          <w:sz w:val="36"/>
          <w:szCs w:val="36"/>
        </w:rPr>
        <w:t>, a white-skinned cousin, often found in Rhône blends. And don’t be surprised if your Grenache looks a little orange at the rim even when young—it oxidizes easily, a trait that’s part of its character, not a flaw.</w:t>
      </w:r>
    </w:p>
    <w:p w14:paraId="088C345A"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4A6B0A8C">
          <v:rect id="_x0000_i1164" style="width:0;height:1.5pt" o:hralign="center" o:hrstd="t" o:hr="t" fillcolor="#a0a0a0" stroked="f"/>
        </w:pict>
      </w:r>
    </w:p>
    <w:p w14:paraId="05C11380"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Try This: GSM vs 100% Grenache</w:t>
      </w:r>
    </w:p>
    <w:p w14:paraId="5B15CED2"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Pick up two bottles: a GSM blend from France and a 100% Garnacha from Spain. Taste them side by side. The blend will show Grenache’s supporting role—fruit and warmth balanced by Syrah and Mourvèdre’s depth—while the solo Garnacha will put its generous red fruit and spice on full display.</w:t>
      </w:r>
    </w:p>
    <w:p w14:paraId="6EAC2667"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pict w14:anchorId="078078A6">
          <v:rect id="_x0000_i1165" style="width:0;height:1.5pt" o:hralign="center" o:hrstd="t" o:hr="t" fillcolor="#a0a0a0" stroked="f"/>
        </w:pict>
      </w:r>
    </w:p>
    <w:p w14:paraId="5D4A2EA2" w14:textId="77777777" w:rsidR="00FE76BF" w:rsidRPr="00FE76BF" w:rsidRDefault="00FE76BF" w:rsidP="00FE76BF">
      <w:pPr>
        <w:rPr>
          <w:rFonts w:asciiTheme="majorBidi" w:hAnsiTheme="majorBidi" w:cstheme="majorBidi"/>
          <w:b/>
          <w:bCs/>
          <w:sz w:val="36"/>
          <w:szCs w:val="36"/>
        </w:rPr>
      </w:pPr>
      <w:r w:rsidRPr="00FE76BF">
        <w:rPr>
          <w:rFonts w:asciiTheme="majorBidi" w:hAnsiTheme="majorBidi" w:cstheme="majorBidi"/>
          <w:b/>
          <w:bCs/>
          <w:sz w:val="36"/>
          <w:szCs w:val="36"/>
        </w:rPr>
        <w:t>On the Next Sip…</w:t>
      </w:r>
    </w:p>
    <w:p w14:paraId="01EBE861" w14:textId="77777777" w:rsidR="00FE76BF"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In Episode 30, we wrap up our red grape tour with Zinfandel—the bold American. Big, ripe, and full of swagger, it’s California’s most misunderstood red.</w:t>
      </w:r>
    </w:p>
    <w:p w14:paraId="0F1B6884" w14:textId="175EA9B9" w:rsidR="00FB5B6C" w:rsidRPr="00FE76BF" w:rsidRDefault="00FE76BF" w:rsidP="00FE76BF">
      <w:pPr>
        <w:rPr>
          <w:rFonts w:asciiTheme="majorBidi" w:hAnsiTheme="majorBidi" w:cstheme="majorBidi"/>
          <w:sz w:val="36"/>
          <w:szCs w:val="36"/>
        </w:rPr>
      </w:pPr>
      <w:r w:rsidRPr="00FE76BF">
        <w:rPr>
          <w:rFonts w:asciiTheme="majorBidi" w:hAnsiTheme="majorBidi" w:cstheme="majorBidi"/>
          <w:sz w:val="36"/>
          <w:szCs w:val="36"/>
        </w:rPr>
        <w:t>Until then, don’t overlook Grenache. It may not always headline the show, but it has a way of stealing it once it’s in your glass. Cheers.</w:t>
      </w:r>
    </w:p>
    <w:sectPr w:rsidR="00FB5B6C" w:rsidRPr="00FE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34C"/>
    <w:multiLevelType w:val="multilevel"/>
    <w:tmpl w:val="F7F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456E7"/>
    <w:multiLevelType w:val="multilevel"/>
    <w:tmpl w:val="59C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371B"/>
    <w:multiLevelType w:val="multilevel"/>
    <w:tmpl w:val="95C8C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62780"/>
    <w:multiLevelType w:val="multilevel"/>
    <w:tmpl w:val="0C26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921E8"/>
    <w:multiLevelType w:val="multilevel"/>
    <w:tmpl w:val="EC6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23A75"/>
    <w:multiLevelType w:val="multilevel"/>
    <w:tmpl w:val="C01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73597"/>
    <w:multiLevelType w:val="multilevel"/>
    <w:tmpl w:val="463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47580"/>
    <w:multiLevelType w:val="multilevel"/>
    <w:tmpl w:val="E5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32976"/>
    <w:multiLevelType w:val="multilevel"/>
    <w:tmpl w:val="B084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346D0"/>
    <w:multiLevelType w:val="multilevel"/>
    <w:tmpl w:val="A55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2558E"/>
    <w:multiLevelType w:val="multilevel"/>
    <w:tmpl w:val="CC10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33250"/>
    <w:multiLevelType w:val="multilevel"/>
    <w:tmpl w:val="DB6A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851181">
    <w:abstractNumId w:val="0"/>
  </w:num>
  <w:num w:numId="2" w16cid:durableId="1624459550">
    <w:abstractNumId w:val="7"/>
  </w:num>
  <w:num w:numId="3" w16cid:durableId="802506352">
    <w:abstractNumId w:val="4"/>
  </w:num>
  <w:num w:numId="4" w16cid:durableId="1564170176">
    <w:abstractNumId w:val="11"/>
  </w:num>
  <w:num w:numId="5" w16cid:durableId="16080636">
    <w:abstractNumId w:val="1"/>
  </w:num>
  <w:num w:numId="6" w16cid:durableId="35783640">
    <w:abstractNumId w:val="5"/>
  </w:num>
  <w:num w:numId="7" w16cid:durableId="1993292792">
    <w:abstractNumId w:val="3"/>
  </w:num>
  <w:num w:numId="8" w16cid:durableId="1199851621">
    <w:abstractNumId w:val="6"/>
  </w:num>
  <w:num w:numId="9" w16cid:durableId="1761442549">
    <w:abstractNumId w:val="2"/>
  </w:num>
  <w:num w:numId="10" w16cid:durableId="746802754">
    <w:abstractNumId w:val="8"/>
  </w:num>
  <w:num w:numId="11" w16cid:durableId="239099930">
    <w:abstractNumId w:val="10"/>
  </w:num>
  <w:num w:numId="12" w16cid:durableId="863831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9B"/>
    <w:rsid w:val="00143158"/>
    <w:rsid w:val="002C49B0"/>
    <w:rsid w:val="003E433A"/>
    <w:rsid w:val="004C11CC"/>
    <w:rsid w:val="0053779B"/>
    <w:rsid w:val="00577F87"/>
    <w:rsid w:val="008D3D73"/>
    <w:rsid w:val="008F2EA1"/>
    <w:rsid w:val="00D62E8D"/>
    <w:rsid w:val="00FB5B6C"/>
    <w:rsid w:val="00FE7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6CAE"/>
  <w15:chartTrackingRefBased/>
  <w15:docId w15:val="{9F4836B1-A60B-4FB2-8331-AC4EF03A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79B"/>
    <w:rPr>
      <w:rFonts w:eastAsiaTheme="majorEastAsia" w:cstheme="majorBidi"/>
      <w:color w:val="272727" w:themeColor="text1" w:themeTint="D8"/>
    </w:rPr>
  </w:style>
  <w:style w:type="paragraph" w:styleId="Title">
    <w:name w:val="Title"/>
    <w:basedOn w:val="Normal"/>
    <w:next w:val="Normal"/>
    <w:link w:val="TitleChar"/>
    <w:uiPriority w:val="10"/>
    <w:qFormat/>
    <w:rsid w:val="00537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79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79B"/>
    <w:pPr>
      <w:spacing w:before="160"/>
      <w:jc w:val="center"/>
    </w:pPr>
    <w:rPr>
      <w:i/>
      <w:iCs/>
      <w:color w:val="404040" w:themeColor="text1" w:themeTint="BF"/>
    </w:rPr>
  </w:style>
  <w:style w:type="character" w:customStyle="1" w:styleId="QuoteChar">
    <w:name w:val="Quote Char"/>
    <w:basedOn w:val="DefaultParagraphFont"/>
    <w:link w:val="Quote"/>
    <w:uiPriority w:val="29"/>
    <w:rsid w:val="0053779B"/>
    <w:rPr>
      <w:i/>
      <w:iCs/>
      <w:color w:val="404040" w:themeColor="text1" w:themeTint="BF"/>
    </w:rPr>
  </w:style>
  <w:style w:type="paragraph" w:styleId="ListParagraph">
    <w:name w:val="List Paragraph"/>
    <w:basedOn w:val="Normal"/>
    <w:uiPriority w:val="34"/>
    <w:qFormat/>
    <w:rsid w:val="0053779B"/>
    <w:pPr>
      <w:ind w:left="720"/>
      <w:contextualSpacing/>
    </w:pPr>
  </w:style>
  <w:style w:type="character" w:styleId="IntenseEmphasis">
    <w:name w:val="Intense Emphasis"/>
    <w:basedOn w:val="DefaultParagraphFont"/>
    <w:uiPriority w:val="21"/>
    <w:qFormat/>
    <w:rsid w:val="0053779B"/>
    <w:rPr>
      <w:i/>
      <w:iCs/>
      <w:color w:val="2F5496" w:themeColor="accent1" w:themeShade="BF"/>
    </w:rPr>
  </w:style>
  <w:style w:type="paragraph" w:styleId="IntenseQuote">
    <w:name w:val="Intense Quote"/>
    <w:basedOn w:val="Normal"/>
    <w:next w:val="Normal"/>
    <w:link w:val="IntenseQuoteChar"/>
    <w:uiPriority w:val="30"/>
    <w:qFormat/>
    <w:rsid w:val="00537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79B"/>
    <w:rPr>
      <w:i/>
      <w:iCs/>
      <w:color w:val="2F5496" w:themeColor="accent1" w:themeShade="BF"/>
    </w:rPr>
  </w:style>
  <w:style w:type="character" w:styleId="IntenseReference">
    <w:name w:val="Intense Reference"/>
    <w:basedOn w:val="DefaultParagraphFont"/>
    <w:uiPriority w:val="32"/>
    <w:qFormat/>
    <w:rsid w:val="0053779B"/>
    <w:rPr>
      <w:b/>
      <w:bCs/>
      <w:smallCaps/>
      <w:color w:val="2F5496" w:themeColor="accent1" w:themeShade="BF"/>
      <w:spacing w:val="5"/>
    </w:rPr>
  </w:style>
  <w:style w:type="character" w:styleId="Hyperlink">
    <w:name w:val="Hyperlink"/>
    <w:basedOn w:val="DefaultParagraphFont"/>
    <w:uiPriority w:val="99"/>
    <w:unhideWhenUsed/>
    <w:rsid w:val="0053779B"/>
    <w:rPr>
      <w:color w:val="0563C1" w:themeColor="hyperlink"/>
      <w:u w:val="single"/>
    </w:rPr>
  </w:style>
  <w:style w:type="character" w:styleId="UnresolvedMention">
    <w:name w:val="Unresolved Mention"/>
    <w:basedOn w:val="DefaultParagraphFont"/>
    <w:uiPriority w:val="99"/>
    <w:semiHidden/>
    <w:unhideWhenUsed/>
    <w:rsid w:val="00537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01041">
      <w:bodyDiv w:val="1"/>
      <w:marLeft w:val="0"/>
      <w:marRight w:val="0"/>
      <w:marTop w:val="0"/>
      <w:marBottom w:val="0"/>
      <w:divBdr>
        <w:top w:val="none" w:sz="0" w:space="0" w:color="auto"/>
        <w:left w:val="none" w:sz="0" w:space="0" w:color="auto"/>
        <w:bottom w:val="none" w:sz="0" w:space="0" w:color="auto"/>
        <w:right w:val="none" w:sz="0" w:space="0" w:color="auto"/>
      </w:divBdr>
    </w:div>
    <w:div w:id="824511349">
      <w:bodyDiv w:val="1"/>
      <w:marLeft w:val="0"/>
      <w:marRight w:val="0"/>
      <w:marTop w:val="0"/>
      <w:marBottom w:val="0"/>
      <w:divBdr>
        <w:top w:val="none" w:sz="0" w:space="0" w:color="auto"/>
        <w:left w:val="none" w:sz="0" w:space="0" w:color="auto"/>
        <w:bottom w:val="none" w:sz="0" w:space="0" w:color="auto"/>
        <w:right w:val="none" w:sz="0" w:space="0" w:color="auto"/>
      </w:divBdr>
    </w:div>
    <w:div w:id="890967608">
      <w:bodyDiv w:val="1"/>
      <w:marLeft w:val="0"/>
      <w:marRight w:val="0"/>
      <w:marTop w:val="0"/>
      <w:marBottom w:val="0"/>
      <w:divBdr>
        <w:top w:val="none" w:sz="0" w:space="0" w:color="auto"/>
        <w:left w:val="none" w:sz="0" w:space="0" w:color="auto"/>
        <w:bottom w:val="none" w:sz="0" w:space="0" w:color="auto"/>
        <w:right w:val="none" w:sz="0" w:space="0" w:color="auto"/>
      </w:divBdr>
    </w:div>
    <w:div w:id="200627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2025-07-01T20:59:00Z</dcterms:created>
  <dcterms:modified xsi:type="dcterms:W3CDTF">2025-08-23T02:52:00Z</dcterms:modified>
</cp:coreProperties>
</file>