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6A26"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Episode 29 – Grenache: The Generous Grape</w:t>
      </w:r>
    </w:p>
    <w:p w14:paraId="10FA1FC8"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Hi! I’m Marc, and this is WINE IN SMALL SIPS.</w:t>
      </w:r>
    </w:p>
    <w:p w14:paraId="12BDF238" w14:textId="77777777" w:rsid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Last time, we got serious with Nebbiolo—a pale red with bold tannins and the power to age for decades. </w:t>
      </w:r>
    </w:p>
    <w:p w14:paraId="66A1E564" w14:textId="40DDA98A"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Today, we’re moving in a more relaxed, fruit-forward direction with Grenache, or Garnacha if you’re in Spain.</w:t>
      </w:r>
    </w:p>
    <w:p w14:paraId="16EF65BA" w14:textId="77777777" w:rsid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Grenache is warm, generous, and unpretentious. It’s the grape that shows up to the dinner party with a big smile, happy to please everyone at the table. </w:t>
      </w:r>
    </w:p>
    <w:p w14:paraId="6BEA0DD5" w14:textId="1C021514"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Juicy, spicy, and often high in alcohol, it’s one of the most widely planted grapes in the world. And while it’s a blending workhorse, when Grenache gets the spotlight, it really shines.</w:t>
      </w:r>
    </w:p>
    <w:p w14:paraId="0D21A2C9"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6934E910">
          <v:rect id="_x0000_i1133" style="width:0;height:1.5pt" o:hralign="center" o:hrstd="t" o:hr="t" fillcolor="#a0a0a0" stroked="f"/>
        </w:pict>
      </w:r>
    </w:p>
    <w:p w14:paraId="5E6EBCFA"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What Is Grenache?</w:t>
      </w:r>
    </w:p>
    <w:p w14:paraId="5954B95B" w14:textId="791E52A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Grenache is a red grape that leans toward friendliness over structure. In the glass, you’ll often find strawberries, raspberries, and cherries, lifted by white pepper and dried herbs like thyme or rosemary. </w:t>
      </w:r>
      <w:r>
        <w:rPr>
          <w:rFonts w:asciiTheme="majorBidi" w:hAnsiTheme="majorBidi" w:cstheme="majorBidi"/>
          <w:sz w:val="36"/>
          <w:szCs w:val="36"/>
        </w:rPr>
        <w:br/>
      </w:r>
      <w:r w:rsidRPr="00962EB4">
        <w:rPr>
          <w:rFonts w:asciiTheme="majorBidi" w:hAnsiTheme="majorBidi" w:cstheme="majorBidi"/>
          <w:sz w:val="36"/>
          <w:szCs w:val="36"/>
        </w:rPr>
        <w:t>Some bottles bring a touch of cinnamon or clove, while older versions can add leather or dried orange peel.</w:t>
      </w:r>
    </w:p>
    <w:p w14:paraId="2257BF89" w14:textId="1B55D8D1"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Structurally, it tends to be medium to full-bodied, with moderate acidity, low to moderate tannins, and alcohol that often climbs past 14%. </w:t>
      </w:r>
      <w:r>
        <w:rPr>
          <w:rFonts w:asciiTheme="majorBidi" w:hAnsiTheme="majorBidi" w:cstheme="majorBidi"/>
          <w:sz w:val="36"/>
          <w:szCs w:val="36"/>
        </w:rPr>
        <w:br/>
      </w:r>
      <w:r w:rsidRPr="00962EB4">
        <w:rPr>
          <w:rFonts w:asciiTheme="majorBidi" w:hAnsiTheme="majorBidi" w:cstheme="majorBidi"/>
          <w:sz w:val="36"/>
          <w:szCs w:val="36"/>
        </w:rPr>
        <w:lastRenderedPageBreak/>
        <w:t>In other words, it’s round, ripe, and generous—wine that’s easy to enjoy without needing to study it.</w:t>
      </w:r>
    </w:p>
    <w:p w14:paraId="1B5BBEB1"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2DDDFCDB">
          <v:rect id="_x0000_i1134" style="width:0;height:1.5pt" o:hralign="center" o:hrstd="t" o:hr="t" fillcolor="#a0a0a0" stroked="f"/>
        </w:pict>
      </w:r>
    </w:p>
    <w:p w14:paraId="29AF5090"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Why It Matters</w:t>
      </w:r>
    </w:p>
    <w:p w14:paraId="45B269FF" w14:textId="476B7F0D"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Grenache is one of the most approachable reds you can pour, but it also has surprising depth in the right hands. </w:t>
      </w:r>
      <w:r>
        <w:rPr>
          <w:rFonts w:asciiTheme="majorBidi" w:hAnsiTheme="majorBidi" w:cstheme="majorBidi"/>
          <w:sz w:val="36"/>
          <w:szCs w:val="36"/>
        </w:rPr>
        <w:br/>
      </w:r>
      <w:r w:rsidRPr="00962EB4">
        <w:rPr>
          <w:rFonts w:asciiTheme="majorBidi" w:hAnsiTheme="majorBidi" w:cstheme="majorBidi"/>
          <w:sz w:val="36"/>
          <w:szCs w:val="36"/>
        </w:rPr>
        <w:t>It plays well on its own but really shines in blends, especially the classic GSM trio—Grenache, Syrah, Mourvèdre—behind some of the world’s great Southern Rhône wines like Châteauneuf-du-Pape.</w:t>
      </w:r>
    </w:p>
    <w:p w14:paraId="689932A0" w14:textId="01F5E740"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It’s also a dream at the table. Its soft tannins and ripe fruit make it incredibly versatile, handling everything from grilled sausages to Moroccan tagine. </w:t>
      </w:r>
      <w:r>
        <w:rPr>
          <w:rFonts w:asciiTheme="majorBidi" w:hAnsiTheme="majorBidi" w:cstheme="majorBidi"/>
          <w:sz w:val="36"/>
          <w:szCs w:val="36"/>
        </w:rPr>
        <w:br/>
      </w:r>
      <w:r w:rsidRPr="00962EB4">
        <w:rPr>
          <w:rFonts w:asciiTheme="majorBidi" w:hAnsiTheme="majorBidi" w:cstheme="majorBidi"/>
          <w:sz w:val="36"/>
          <w:szCs w:val="36"/>
        </w:rPr>
        <w:t>And it’s one of the most budget-friendly ways to drink characterful red wine—excellent Garnacha from Spain or GSM blends from France often cost less than $20.</w:t>
      </w:r>
    </w:p>
    <w:p w14:paraId="58381FE8"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Grenache may be easygoing, but that doesn’t mean simple. From rustic country reds to polished age-worthy wines, there’s a version for almost every palate.</w:t>
      </w:r>
    </w:p>
    <w:p w14:paraId="7C2CE3D0"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383A2291">
          <v:rect id="_x0000_i1135" style="width:0;height:1.5pt" o:hralign="center" o:hrstd="t" o:hr="t" fillcolor="#a0a0a0" stroked="f"/>
        </w:pict>
      </w:r>
    </w:p>
    <w:p w14:paraId="612CAF47"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Exploring the Styles</w:t>
      </w:r>
    </w:p>
    <w:p w14:paraId="0A4D156E"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Spain is Grenache’s ancestral home, where it’s known as Garnacha. In Aragón, especially Campo de Borja—sometimes called the “Empire of Garnacha”—you’ll find </w:t>
      </w:r>
      <w:r w:rsidRPr="00962EB4">
        <w:rPr>
          <w:rFonts w:asciiTheme="majorBidi" w:hAnsiTheme="majorBidi" w:cstheme="majorBidi"/>
          <w:sz w:val="36"/>
          <w:szCs w:val="36"/>
        </w:rPr>
        <w:lastRenderedPageBreak/>
        <w:t xml:space="preserve">plush, spicy reds like </w:t>
      </w:r>
      <w:proofErr w:type="spellStart"/>
      <w:r w:rsidRPr="00962EB4">
        <w:rPr>
          <w:rFonts w:asciiTheme="majorBidi" w:hAnsiTheme="majorBidi" w:cstheme="majorBidi"/>
          <w:b/>
          <w:bCs/>
          <w:sz w:val="36"/>
          <w:szCs w:val="36"/>
        </w:rPr>
        <w:t>Borsao</w:t>
      </w:r>
      <w:proofErr w:type="spellEnd"/>
      <w:r w:rsidRPr="00962EB4">
        <w:rPr>
          <w:rFonts w:asciiTheme="majorBidi" w:hAnsiTheme="majorBidi" w:cstheme="majorBidi"/>
          <w:b/>
          <w:bCs/>
          <w:sz w:val="36"/>
          <w:szCs w:val="36"/>
        </w:rPr>
        <w:t xml:space="preserve"> Tres Picos</w:t>
      </w:r>
      <w:r w:rsidRPr="00962EB4">
        <w:rPr>
          <w:rFonts w:asciiTheme="majorBidi" w:hAnsiTheme="majorBidi" w:cstheme="majorBidi"/>
          <w:sz w:val="36"/>
          <w:szCs w:val="36"/>
        </w:rPr>
        <w:t xml:space="preserve"> (around $18), with ripe fruit, smoky herbs, and plenty of peppery warmth. Move to Priorat, and Garnacha joins with other grapes in deep, mineral, powerful blends such as </w:t>
      </w:r>
      <w:r w:rsidRPr="00962EB4">
        <w:rPr>
          <w:rFonts w:asciiTheme="majorBidi" w:hAnsiTheme="majorBidi" w:cstheme="majorBidi"/>
          <w:b/>
          <w:bCs/>
          <w:sz w:val="36"/>
          <w:szCs w:val="36"/>
        </w:rPr>
        <w:t>Clos Erasmus “Laurel”</w:t>
      </w:r>
      <w:r w:rsidRPr="00962EB4">
        <w:rPr>
          <w:rFonts w:asciiTheme="majorBidi" w:hAnsiTheme="majorBidi" w:cstheme="majorBidi"/>
          <w:sz w:val="36"/>
          <w:szCs w:val="36"/>
        </w:rPr>
        <w:t xml:space="preserve"> (around $45–50), wines built for serious aging.</w:t>
      </w:r>
    </w:p>
    <w:p w14:paraId="4A3BE03F"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In Southern Rhône, Grenache is often the lead grape in blends. A simple </w:t>
      </w:r>
      <w:proofErr w:type="spellStart"/>
      <w:r w:rsidRPr="00962EB4">
        <w:rPr>
          <w:rFonts w:asciiTheme="majorBidi" w:hAnsiTheme="majorBidi" w:cstheme="majorBidi"/>
          <w:b/>
          <w:bCs/>
          <w:sz w:val="36"/>
          <w:szCs w:val="36"/>
        </w:rPr>
        <w:t>Guigal</w:t>
      </w:r>
      <w:proofErr w:type="spellEnd"/>
      <w:r w:rsidRPr="00962EB4">
        <w:rPr>
          <w:rFonts w:asciiTheme="majorBidi" w:hAnsiTheme="majorBidi" w:cstheme="majorBidi"/>
          <w:b/>
          <w:bCs/>
          <w:sz w:val="36"/>
          <w:szCs w:val="36"/>
        </w:rPr>
        <w:t xml:space="preserve"> </w:t>
      </w:r>
      <w:proofErr w:type="spellStart"/>
      <w:r w:rsidRPr="00962EB4">
        <w:rPr>
          <w:rFonts w:asciiTheme="majorBidi" w:hAnsiTheme="majorBidi" w:cstheme="majorBidi"/>
          <w:b/>
          <w:bCs/>
          <w:sz w:val="36"/>
          <w:szCs w:val="36"/>
        </w:rPr>
        <w:t>Côtes</w:t>
      </w:r>
      <w:proofErr w:type="spellEnd"/>
      <w:r w:rsidRPr="00962EB4">
        <w:rPr>
          <w:rFonts w:asciiTheme="majorBidi" w:hAnsiTheme="majorBidi" w:cstheme="majorBidi"/>
          <w:b/>
          <w:bCs/>
          <w:sz w:val="36"/>
          <w:szCs w:val="36"/>
        </w:rPr>
        <w:t xml:space="preserve"> du Rhône</w:t>
      </w:r>
      <w:r w:rsidRPr="00962EB4">
        <w:rPr>
          <w:rFonts w:asciiTheme="majorBidi" w:hAnsiTheme="majorBidi" w:cstheme="majorBidi"/>
          <w:sz w:val="36"/>
          <w:szCs w:val="36"/>
        </w:rPr>
        <w:t xml:space="preserve"> (around $15) delivers rustic cherry, herbs, and pepper for everyday drinking, while a Châteauneuf-du-Pape like </w:t>
      </w:r>
      <w:r w:rsidRPr="00962EB4">
        <w:rPr>
          <w:rFonts w:asciiTheme="majorBidi" w:hAnsiTheme="majorBidi" w:cstheme="majorBidi"/>
          <w:b/>
          <w:bCs/>
          <w:sz w:val="36"/>
          <w:szCs w:val="36"/>
        </w:rPr>
        <w:t xml:space="preserve">Domaine de la </w:t>
      </w:r>
      <w:proofErr w:type="spellStart"/>
      <w:r w:rsidRPr="00962EB4">
        <w:rPr>
          <w:rFonts w:asciiTheme="majorBidi" w:hAnsiTheme="majorBidi" w:cstheme="majorBidi"/>
          <w:b/>
          <w:bCs/>
          <w:sz w:val="36"/>
          <w:szCs w:val="36"/>
        </w:rPr>
        <w:t>Janasse</w:t>
      </w:r>
      <w:proofErr w:type="spellEnd"/>
      <w:r w:rsidRPr="00962EB4">
        <w:rPr>
          <w:rFonts w:asciiTheme="majorBidi" w:hAnsiTheme="majorBidi" w:cstheme="majorBidi"/>
          <w:sz w:val="36"/>
          <w:szCs w:val="36"/>
        </w:rPr>
        <w:t xml:space="preserve"> (around $45–60) shows the grape’s richer, age-worthy side, full of raspberry, wild herbs, licorice, and leather.</w:t>
      </w:r>
    </w:p>
    <w:p w14:paraId="7616AF12"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Cross to California, and Grenache becomes bolder and fruitier. Paso Robles and Santa Barbara bottlings often taste like strawberry jam spiced with cinnamon and cocoa. </w:t>
      </w:r>
      <w:r w:rsidRPr="00962EB4">
        <w:rPr>
          <w:rFonts w:asciiTheme="majorBidi" w:hAnsiTheme="majorBidi" w:cstheme="majorBidi"/>
          <w:b/>
          <w:bCs/>
          <w:sz w:val="36"/>
          <w:szCs w:val="36"/>
        </w:rPr>
        <w:t>Sans Liege “The Offering”</w:t>
      </w:r>
      <w:r w:rsidRPr="00962EB4">
        <w:rPr>
          <w:rFonts w:asciiTheme="majorBidi" w:hAnsiTheme="majorBidi" w:cstheme="majorBidi"/>
          <w:sz w:val="36"/>
          <w:szCs w:val="36"/>
        </w:rPr>
        <w:t xml:space="preserve"> (around $25) is a great example of juicy, bold, warm-climate Grenache.</w:t>
      </w:r>
    </w:p>
    <w:p w14:paraId="5F472BBD"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Head to Australia—particularly McLaren Vale or Barossa—and Grenache often stars in GSM blends. Expect ripe raspberry, clove, and a hint of eucalyptus. </w:t>
      </w:r>
      <w:proofErr w:type="spellStart"/>
      <w:r w:rsidRPr="00962EB4">
        <w:rPr>
          <w:rFonts w:asciiTheme="majorBidi" w:hAnsiTheme="majorBidi" w:cstheme="majorBidi"/>
          <w:b/>
          <w:bCs/>
          <w:sz w:val="36"/>
          <w:szCs w:val="36"/>
        </w:rPr>
        <w:t>d’Arenberg</w:t>
      </w:r>
      <w:proofErr w:type="spellEnd"/>
      <w:r w:rsidRPr="00962EB4">
        <w:rPr>
          <w:rFonts w:asciiTheme="majorBidi" w:hAnsiTheme="majorBidi" w:cstheme="majorBidi"/>
          <w:b/>
          <w:bCs/>
          <w:sz w:val="36"/>
          <w:szCs w:val="36"/>
        </w:rPr>
        <w:t xml:space="preserve"> “The Custodian”</w:t>
      </w:r>
      <w:r w:rsidRPr="00962EB4">
        <w:rPr>
          <w:rFonts w:asciiTheme="majorBidi" w:hAnsiTheme="majorBidi" w:cstheme="majorBidi"/>
          <w:sz w:val="36"/>
          <w:szCs w:val="36"/>
        </w:rPr>
        <w:t xml:space="preserve"> (around $20) is classic Aussie Grenache: plush, rich, and brimming with fruit.</w:t>
      </w:r>
    </w:p>
    <w:p w14:paraId="4865E892"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294CF9AE">
          <v:rect id="_x0000_i1136" style="width:0;height:1.5pt" o:hralign="center" o:hrstd="t" o:hr="t" fillcolor="#a0a0a0" stroked="f"/>
        </w:pict>
      </w:r>
    </w:p>
    <w:p w14:paraId="08980CFF"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Food Pairing: What Goes with Grenache?</w:t>
      </w:r>
    </w:p>
    <w:p w14:paraId="0B34E99A" w14:textId="77777777" w:rsid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lastRenderedPageBreak/>
        <w:t xml:space="preserve">Few reds are as versatile at the table. Grenache loves grilled foods, smoky herbs, and dishes that echo its warmth. Think sausages sizzling on the barbecue, roast chicken with rosemary, pork glazed in spice, or a Moroccan tagine full of fruit and spice. </w:t>
      </w:r>
    </w:p>
    <w:p w14:paraId="4C3751F3" w14:textId="48BCB9E9"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It’s equally happy with vegetarian plates—ratatouille, lentils with smoked paprika, mushrooms tossed with herbs. And with cheese? Manchego or aged Gouda are natural partners.</w:t>
      </w:r>
    </w:p>
    <w:p w14:paraId="014FC3C7"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Because Grenache is lower in tannin, it works in places where bigger reds can clash—like tomato-based sauces or mildly spicy dishes.</w:t>
      </w:r>
    </w:p>
    <w:p w14:paraId="6C165D5E"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09135C5C">
          <v:rect id="_x0000_i1137" style="width:0;height:1.5pt" o:hralign="center" o:hrstd="t" o:hr="t" fillcolor="#a0a0a0" stroked="f"/>
        </w:pict>
      </w:r>
    </w:p>
    <w:p w14:paraId="3108C235"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Common Misconceptions</w:t>
      </w:r>
    </w:p>
    <w:p w14:paraId="380F2F37"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“Grenache is boring.”</w:t>
      </w:r>
      <w:r w:rsidRPr="00962EB4">
        <w:rPr>
          <w:rFonts w:asciiTheme="majorBidi" w:hAnsiTheme="majorBidi" w:cstheme="majorBidi"/>
          <w:sz w:val="36"/>
          <w:szCs w:val="36"/>
        </w:rPr>
        <w:br/>
        <w:t>Not at all. It can be fun and juicy, but from old vines and top regions it turns serious, deep, and complex.</w:t>
      </w:r>
    </w:p>
    <w:p w14:paraId="39932128"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“It’s only good in blends.”</w:t>
      </w:r>
      <w:r w:rsidRPr="00962EB4">
        <w:rPr>
          <w:rFonts w:asciiTheme="majorBidi" w:hAnsiTheme="majorBidi" w:cstheme="majorBidi"/>
          <w:sz w:val="36"/>
          <w:szCs w:val="36"/>
        </w:rPr>
        <w:br/>
        <w:t>Grenache is a blending star, yes, but single-varietal Garnacha from Spain and varietal Grenache from Australia prove it can stand on its own.</w:t>
      </w:r>
    </w:p>
    <w:p w14:paraId="5C6BBCA4"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“It’s just a warm-climate grape.”</w:t>
      </w:r>
      <w:r w:rsidRPr="00962EB4">
        <w:rPr>
          <w:rFonts w:asciiTheme="majorBidi" w:hAnsiTheme="majorBidi" w:cstheme="majorBidi"/>
          <w:sz w:val="36"/>
          <w:szCs w:val="36"/>
        </w:rPr>
        <w:br/>
        <w:t xml:space="preserve">While it loves heat, cooler-climate Grenache—especially </w:t>
      </w:r>
      <w:r w:rsidRPr="00962EB4">
        <w:rPr>
          <w:rFonts w:asciiTheme="majorBidi" w:hAnsiTheme="majorBidi" w:cstheme="majorBidi"/>
          <w:sz w:val="36"/>
          <w:szCs w:val="36"/>
        </w:rPr>
        <w:lastRenderedPageBreak/>
        <w:t>from California’s Central Coast—can be surprisingly elegant and refined.</w:t>
      </w:r>
    </w:p>
    <w:p w14:paraId="2C30D9DD"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46CAE839">
          <v:rect id="_x0000_i1138" style="width:0;height:1.5pt" o:hralign="center" o:hrstd="t" o:hr="t" fillcolor="#a0a0a0" stroked="f"/>
        </w:pict>
      </w:r>
    </w:p>
    <w:p w14:paraId="6922B78B"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A Quick Way to Think About It</w:t>
      </w:r>
    </w:p>
    <w:p w14:paraId="73E83B8A"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Here’s the shortcut: </w:t>
      </w:r>
      <w:r w:rsidRPr="00962EB4">
        <w:rPr>
          <w:rFonts w:asciiTheme="majorBidi" w:hAnsiTheme="majorBidi" w:cstheme="majorBidi"/>
          <w:b/>
          <w:bCs/>
          <w:sz w:val="36"/>
          <w:szCs w:val="36"/>
        </w:rPr>
        <w:t>Grenache equals generosity.</w:t>
      </w:r>
    </w:p>
    <w:p w14:paraId="2F411A7D" w14:textId="07F27724"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It’s generous with fruit, generous with warmth, and generous with flexibility. Spain gives it spice and earth, the Rhône makes it the backbone of blends, California turns up the fruit, and Australia packs in richness. </w:t>
      </w:r>
      <w:r>
        <w:rPr>
          <w:rFonts w:asciiTheme="majorBidi" w:hAnsiTheme="majorBidi" w:cstheme="majorBidi"/>
          <w:sz w:val="36"/>
          <w:szCs w:val="36"/>
        </w:rPr>
        <w:br/>
      </w:r>
      <w:r w:rsidRPr="00962EB4">
        <w:rPr>
          <w:rFonts w:asciiTheme="majorBidi" w:hAnsiTheme="majorBidi" w:cstheme="majorBidi"/>
          <w:sz w:val="36"/>
          <w:szCs w:val="36"/>
        </w:rPr>
        <w:t>Wherever it grows, Grenache is the grape that’s easy to like and hard to forget.</w:t>
      </w:r>
    </w:p>
    <w:p w14:paraId="6FA202E7"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713BB263">
          <v:rect id="_x0000_i1139" style="width:0;height:1.5pt" o:hralign="center" o:hrstd="t" o:hr="t" fillcolor="#a0a0a0" stroked="f"/>
        </w:pict>
      </w:r>
    </w:p>
    <w:p w14:paraId="35563B6C"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Wine Enthusiast Alert</w:t>
      </w:r>
    </w:p>
    <w:p w14:paraId="48328077" w14:textId="7BD14A69"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 xml:space="preserve">Grenache has a few quirks worth knowing. Some of the oldest Grenache vines in the world are still producing in Australia—well over a century old. </w:t>
      </w:r>
      <w:r>
        <w:rPr>
          <w:rFonts w:asciiTheme="majorBidi" w:hAnsiTheme="majorBidi" w:cstheme="majorBidi"/>
          <w:sz w:val="36"/>
          <w:szCs w:val="36"/>
        </w:rPr>
        <w:br/>
      </w:r>
      <w:r w:rsidRPr="00962EB4">
        <w:rPr>
          <w:rFonts w:asciiTheme="majorBidi" w:hAnsiTheme="majorBidi" w:cstheme="majorBidi"/>
          <w:sz w:val="36"/>
          <w:szCs w:val="36"/>
        </w:rPr>
        <w:t>There’s also Grenache Blanc, a white-skinned version that often appears in Rhône blends. And a quick warning: Grenache oxidizes easily, which is why even relatively young bottles sometimes show an orange tinge at the rim. Don’t worry—it’s part of its character, not a flaw.</w:t>
      </w:r>
    </w:p>
    <w:p w14:paraId="54773417"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1A377E72">
          <v:rect id="_x0000_i1140" style="width:0;height:1.5pt" o:hralign="center" o:hrstd="t" o:hr="t" fillcolor="#a0a0a0" stroked="f"/>
        </w:pict>
      </w:r>
    </w:p>
    <w:p w14:paraId="7C162E8B"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Try This</w:t>
      </w:r>
    </w:p>
    <w:p w14:paraId="7A0482AE" w14:textId="2720900A"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lastRenderedPageBreak/>
        <w:t xml:space="preserve">Set up a tasting with two bottles: a GSM blend from the Rhône and a 100% Garnacha from Spain. </w:t>
      </w:r>
      <w:r>
        <w:rPr>
          <w:rFonts w:asciiTheme="majorBidi" w:hAnsiTheme="majorBidi" w:cstheme="majorBidi"/>
          <w:sz w:val="36"/>
          <w:szCs w:val="36"/>
        </w:rPr>
        <w:br/>
      </w:r>
      <w:r w:rsidRPr="00962EB4">
        <w:rPr>
          <w:rFonts w:asciiTheme="majorBidi" w:hAnsiTheme="majorBidi" w:cstheme="majorBidi"/>
          <w:sz w:val="36"/>
          <w:szCs w:val="36"/>
        </w:rPr>
        <w:t>Taste them side by side, and you’ll see exactly what Grenache brings on its own—juicy fruit, warm spice, soft tannins—versus what it contributes to a blend, where Syrah and Mourvèdre add depth and backbone.</w:t>
      </w:r>
    </w:p>
    <w:p w14:paraId="1A16348A"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pict w14:anchorId="5DFAA644">
          <v:rect id="_x0000_i1141" style="width:0;height:1.5pt" o:hralign="center" o:hrstd="t" o:hr="t" fillcolor="#a0a0a0" stroked="f"/>
        </w:pict>
      </w:r>
    </w:p>
    <w:p w14:paraId="60EA5830" w14:textId="77777777" w:rsidR="00962EB4" w:rsidRPr="00962EB4" w:rsidRDefault="00962EB4" w:rsidP="00962EB4">
      <w:pPr>
        <w:rPr>
          <w:rFonts w:asciiTheme="majorBidi" w:hAnsiTheme="majorBidi" w:cstheme="majorBidi"/>
          <w:b/>
          <w:bCs/>
          <w:sz w:val="36"/>
          <w:szCs w:val="36"/>
        </w:rPr>
      </w:pPr>
      <w:r w:rsidRPr="00962EB4">
        <w:rPr>
          <w:rFonts w:asciiTheme="majorBidi" w:hAnsiTheme="majorBidi" w:cstheme="majorBidi"/>
          <w:b/>
          <w:bCs/>
          <w:sz w:val="36"/>
          <w:szCs w:val="36"/>
        </w:rPr>
        <w:t>On the Next Sip…</w:t>
      </w:r>
    </w:p>
    <w:p w14:paraId="19462346" w14:textId="77777777" w:rsidR="00962EB4"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In Episode 30, we wrap up our red grape tour with Zinfandel—the bold American. Big, ripe, and full of character, it’s California’s most misunderstood red.</w:t>
      </w:r>
    </w:p>
    <w:p w14:paraId="4A5CF67E" w14:textId="7CA0D378" w:rsidR="00FB5B6C" w:rsidRPr="00962EB4" w:rsidRDefault="00962EB4" w:rsidP="00962EB4">
      <w:pPr>
        <w:rPr>
          <w:rFonts w:asciiTheme="majorBidi" w:hAnsiTheme="majorBidi" w:cstheme="majorBidi"/>
          <w:sz w:val="36"/>
          <w:szCs w:val="36"/>
        </w:rPr>
      </w:pPr>
      <w:r w:rsidRPr="00962EB4">
        <w:rPr>
          <w:rFonts w:asciiTheme="majorBidi" w:hAnsiTheme="majorBidi" w:cstheme="majorBidi"/>
          <w:sz w:val="36"/>
          <w:szCs w:val="36"/>
        </w:rPr>
        <w:t>Until then, don’t underestimate Grenache. It may not always be the headliner, but it’s the generous grape—always ready to share its warmth and charm. Cheers.</w:t>
      </w:r>
    </w:p>
    <w:sectPr w:rsidR="00FB5B6C" w:rsidRPr="0096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A07"/>
    <w:multiLevelType w:val="multilevel"/>
    <w:tmpl w:val="D8DA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32DD2"/>
    <w:multiLevelType w:val="multilevel"/>
    <w:tmpl w:val="3B46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00565"/>
    <w:multiLevelType w:val="multilevel"/>
    <w:tmpl w:val="26B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216D3"/>
    <w:multiLevelType w:val="multilevel"/>
    <w:tmpl w:val="8118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D36FE"/>
    <w:multiLevelType w:val="multilevel"/>
    <w:tmpl w:val="E6A6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5198E"/>
    <w:multiLevelType w:val="multilevel"/>
    <w:tmpl w:val="10C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D693E"/>
    <w:multiLevelType w:val="multilevel"/>
    <w:tmpl w:val="805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C72A7"/>
    <w:multiLevelType w:val="multilevel"/>
    <w:tmpl w:val="9FCA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65280"/>
    <w:multiLevelType w:val="multilevel"/>
    <w:tmpl w:val="768C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044DC"/>
    <w:multiLevelType w:val="multilevel"/>
    <w:tmpl w:val="00CC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0320F"/>
    <w:multiLevelType w:val="multilevel"/>
    <w:tmpl w:val="4126D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1242676">
    <w:abstractNumId w:val="3"/>
  </w:num>
  <w:num w:numId="2" w16cid:durableId="1785466160">
    <w:abstractNumId w:val="1"/>
  </w:num>
  <w:num w:numId="3" w16cid:durableId="1945385461">
    <w:abstractNumId w:val="2"/>
  </w:num>
  <w:num w:numId="4" w16cid:durableId="557597399">
    <w:abstractNumId w:val="0"/>
  </w:num>
  <w:num w:numId="5" w16cid:durableId="1470976970">
    <w:abstractNumId w:val="8"/>
  </w:num>
  <w:num w:numId="6" w16cid:durableId="323748059">
    <w:abstractNumId w:val="5"/>
  </w:num>
  <w:num w:numId="7" w16cid:durableId="728383248">
    <w:abstractNumId w:val="9"/>
  </w:num>
  <w:num w:numId="8" w16cid:durableId="1020862130">
    <w:abstractNumId w:val="10"/>
  </w:num>
  <w:num w:numId="9" w16cid:durableId="178206360">
    <w:abstractNumId w:val="7"/>
  </w:num>
  <w:num w:numId="10" w16cid:durableId="603460930">
    <w:abstractNumId w:val="4"/>
  </w:num>
  <w:num w:numId="11" w16cid:durableId="1433359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C7"/>
    <w:rsid w:val="00143158"/>
    <w:rsid w:val="00155CF5"/>
    <w:rsid w:val="003C3B6A"/>
    <w:rsid w:val="004C11CC"/>
    <w:rsid w:val="008D3D73"/>
    <w:rsid w:val="00962EB4"/>
    <w:rsid w:val="00B766B8"/>
    <w:rsid w:val="00BA0AF6"/>
    <w:rsid w:val="00BB6DC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16F3"/>
  <w15:chartTrackingRefBased/>
  <w15:docId w15:val="{F3EEE2ED-A533-48B6-980D-D60DE1B9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DC7"/>
    <w:rPr>
      <w:rFonts w:eastAsiaTheme="majorEastAsia" w:cstheme="majorBidi"/>
      <w:color w:val="272727" w:themeColor="text1" w:themeTint="D8"/>
    </w:rPr>
  </w:style>
  <w:style w:type="paragraph" w:styleId="Title">
    <w:name w:val="Title"/>
    <w:basedOn w:val="Normal"/>
    <w:next w:val="Normal"/>
    <w:link w:val="TitleChar"/>
    <w:uiPriority w:val="10"/>
    <w:qFormat/>
    <w:rsid w:val="00BB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DC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DC7"/>
    <w:pPr>
      <w:spacing w:before="160"/>
      <w:jc w:val="center"/>
    </w:pPr>
    <w:rPr>
      <w:i/>
      <w:iCs/>
      <w:color w:val="404040" w:themeColor="text1" w:themeTint="BF"/>
    </w:rPr>
  </w:style>
  <w:style w:type="character" w:customStyle="1" w:styleId="QuoteChar">
    <w:name w:val="Quote Char"/>
    <w:basedOn w:val="DefaultParagraphFont"/>
    <w:link w:val="Quote"/>
    <w:uiPriority w:val="29"/>
    <w:rsid w:val="00BB6DC7"/>
    <w:rPr>
      <w:i/>
      <w:iCs/>
      <w:color w:val="404040" w:themeColor="text1" w:themeTint="BF"/>
    </w:rPr>
  </w:style>
  <w:style w:type="paragraph" w:styleId="ListParagraph">
    <w:name w:val="List Paragraph"/>
    <w:basedOn w:val="Normal"/>
    <w:uiPriority w:val="34"/>
    <w:qFormat/>
    <w:rsid w:val="00BB6DC7"/>
    <w:pPr>
      <w:ind w:left="720"/>
      <w:contextualSpacing/>
    </w:pPr>
  </w:style>
  <w:style w:type="character" w:styleId="IntenseEmphasis">
    <w:name w:val="Intense Emphasis"/>
    <w:basedOn w:val="DefaultParagraphFont"/>
    <w:uiPriority w:val="21"/>
    <w:qFormat/>
    <w:rsid w:val="00BB6DC7"/>
    <w:rPr>
      <w:i/>
      <w:iCs/>
      <w:color w:val="2F5496" w:themeColor="accent1" w:themeShade="BF"/>
    </w:rPr>
  </w:style>
  <w:style w:type="paragraph" w:styleId="IntenseQuote">
    <w:name w:val="Intense Quote"/>
    <w:basedOn w:val="Normal"/>
    <w:next w:val="Normal"/>
    <w:link w:val="IntenseQuoteChar"/>
    <w:uiPriority w:val="30"/>
    <w:qFormat/>
    <w:rsid w:val="00BB6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DC7"/>
    <w:rPr>
      <w:i/>
      <w:iCs/>
      <w:color w:val="2F5496" w:themeColor="accent1" w:themeShade="BF"/>
    </w:rPr>
  </w:style>
  <w:style w:type="character" w:styleId="IntenseReference">
    <w:name w:val="Intense Reference"/>
    <w:basedOn w:val="DefaultParagraphFont"/>
    <w:uiPriority w:val="32"/>
    <w:qFormat/>
    <w:rsid w:val="00BB6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1775">
      <w:bodyDiv w:val="1"/>
      <w:marLeft w:val="0"/>
      <w:marRight w:val="0"/>
      <w:marTop w:val="0"/>
      <w:marBottom w:val="0"/>
      <w:divBdr>
        <w:top w:val="none" w:sz="0" w:space="0" w:color="auto"/>
        <w:left w:val="none" w:sz="0" w:space="0" w:color="auto"/>
        <w:bottom w:val="none" w:sz="0" w:space="0" w:color="auto"/>
        <w:right w:val="none" w:sz="0" w:space="0" w:color="auto"/>
      </w:divBdr>
      <w:divsChild>
        <w:div w:id="845439954">
          <w:marLeft w:val="0"/>
          <w:marRight w:val="0"/>
          <w:marTop w:val="0"/>
          <w:marBottom w:val="0"/>
          <w:divBdr>
            <w:top w:val="none" w:sz="0" w:space="0" w:color="auto"/>
            <w:left w:val="none" w:sz="0" w:space="0" w:color="auto"/>
            <w:bottom w:val="none" w:sz="0" w:space="0" w:color="auto"/>
            <w:right w:val="none" w:sz="0" w:space="0" w:color="auto"/>
          </w:divBdr>
          <w:divsChild>
            <w:div w:id="4760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79">
          <w:marLeft w:val="0"/>
          <w:marRight w:val="0"/>
          <w:marTop w:val="0"/>
          <w:marBottom w:val="0"/>
          <w:divBdr>
            <w:top w:val="none" w:sz="0" w:space="0" w:color="auto"/>
            <w:left w:val="none" w:sz="0" w:space="0" w:color="auto"/>
            <w:bottom w:val="none" w:sz="0" w:space="0" w:color="auto"/>
            <w:right w:val="none" w:sz="0" w:space="0" w:color="auto"/>
          </w:divBdr>
          <w:divsChild>
            <w:div w:id="360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8461">
      <w:bodyDiv w:val="1"/>
      <w:marLeft w:val="0"/>
      <w:marRight w:val="0"/>
      <w:marTop w:val="0"/>
      <w:marBottom w:val="0"/>
      <w:divBdr>
        <w:top w:val="none" w:sz="0" w:space="0" w:color="auto"/>
        <w:left w:val="none" w:sz="0" w:space="0" w:color="auto"/>
        <w:bottom w:val="none" w:sz="0" w:space="0" w:color="auto"/>
        <w:right w:val="none" w:sz="0" w:space="0" w:color="auto"/>
      </w:divBdr>
      <w:divsChild>
        <w:div w:id="678893881">
          <w:marLeft w:val="0"/>
          <w:marRight w:val="0"/>
          <w:marTop w:val="0"/>
          <w:marBottom w:val="0"/>
          <w:divBdr>
            <w:top w:val="none" w:sz="0" w:space="0" w:color="auto"/>
            <w:left w:val="none" w:sz="0" w:space="0" w:color="auto"/>
            <w:bottom w:val="none" w:sz="0" w:space="0" w:color="auto"/>
            <w:right w:val="none" w:sz="0" w:space="0" w:color="auto"/>
          </w:divBdr>
          <w:divsChild>
            <w:div w:id="1576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2715">
      <w:bodyDiv w:val="1"/>
      <w:marLeft w:val="0"/>
      <w:marRight w:val="0"/>
      <w:marTop w:val="0"/>
      <w:marBottom w:val="0"/>
      <w:divBdr>
        <w:top w:val="none" w:sz="0" w:space="0" w:color="auto"/>
        <w:left w:val="none" w:sz="0" w:space="0" w:color="auto"/>
        <w:bottom w:val="none" w:sz="0" w:space="0" w:color="auto"/>
        <w:right w:val="none" w:sz="0" w:space="0" w:color="auto"/>
      </w:divBdr>
    </w:div>
    <w:div w:id="738290056">
      <w:bodyDiv w:val="1"/>
      <w:marLeft w:val="0"/>
      <w:marRight w:val="0"/>
      <w:marTop w:val="0"/>
      <w:marBottom w:val="0"/>
      <w:divBdr>
        <w:top w:val="none" w:sz="0" w:space="0" w:color="auto"/>
        <w:left w:val="none" w:sz="0" w:space="0" w:color="auto"/>
        <w:bottom w:val="none" w:sz="0" w:space="0" w:color="auto"/>
        <w:right w:val="none" w:sz="0" w:space="0" w:color="auto"/>
      </w:divBdr>
    </w:div>
    <w:div w:id="1272132931">
      <w:bodyDiv w:val="1"/>
      <w:marLeft w:val="0"/>
      <w:marRight w:val="0"/>
      <w:marTop w:val="0"/>
      <w:marBottom w:val="0"/>
      <w:divBdr>
        <w:top w:val="none" w:sz="0" w:space="0" w:color="auto"/>
        <w:left w:val="none" w:sz="0" w:space="0" w:color="auto"/>
        <w:bottom w:val="none" w:sz="0" w:space="0" w:color="auto"/>
        <w:right w:val="none" w:sz="0" w:space="0" w:color="auto"/>
      </w:divBdr>
      <w:divsChild>
        <w:div w:id="800346793">
          <w:marLeft w:val="0"/>
          <w:marRight w:val="0"/>
          <w:marTop w:val="0"/>
          <w:marBottom w:val="0"/>
          <w:divBdr>
            <w:top w:val="none" w:sz="0" w:space="0" w:color="auto"/>
            <w:left w:val="none" w:sz="0" w:space="0" w:color="auto"/>
            <w:bottom w:val="none" w:sz="0" w:space="0" w:color="auto"/>
            <w:right w:val="none" w:sz="0" w:space="0" w:color="auto"/>
          </w:divBdr>
          <w:divsChild>
            <w:div w:id="4287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2025-07-01T04:14:00Z</dcterms:created>
  <dcterms:modified xsi:type="dcterms:W3CDTF">2025-08-23T02:33:00Z</dcterms:modified>
</cp:coreProperties>
</file>