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ED0B"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Episode 121 – China: Ningxia</w:t>
      </w:r>
    </w:p>
    <w:p w14:paraId="4F0AB29C"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 xml:space="preserve">Hi! I’m Marc, and welcome to </w:t>
      </w:r>
      <w:r w:rsidRPr="002B26EA">
        <w:rPr>
          <w:rFonts w:asciiTheme="majorBidi" w:hAnsiTheme="majorBidi" w:cstheme="majorBidi"/>
          <w:i/>
          <w:iCs/>
          <w:sz w:val="40"/>
          <w:szCs w:val="40"/>
        </w:rPr>
        <w:t>Wine Regions Revealed</w:t>
      </w:r>
      <w:r w:rsidRPr="002B26EA">
        <w:rPr>
          <w:rFonts w:asciiTheme="majorBidi" w:hAnsiTheme="majorBidi" w:cstheme="majorBidi"/>
          <w:sz w:val="40"/>
          <w:szCs w:val="40"/>
        </w:rPr>
        <w:t>—the series where we explore the world’s wine regions, one small sip at a time.</w:t>
      </w:r>
    </w:p>
    <w:p w14:paraId="6872EEEC"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Last time we were in Central Otago, New Zealand, where rugged landscapes produce some of the most vibrant Pinot Noirs on earth.</w:t>
      </w:r>
    </w:p>
    <w:p w14:paraId="1C44D54A"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Today, we’ve traveled to north-central China, to Ningxia, where an arid plateau between the Yellow River and the Helan Mountains has transformed from desert scrub to one of the world’s most closely watched emerging wine regions.</w:t>
      </w:r>
    </w:p>
    <w:p w14:paraId="349A7D46" w14:textId="77777777" w:rsid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 xml:space="preserve">In just a few decades, Ningxia has gone from planting its first modern vineyards to producing wines that regularly win international awards. </w:t>
      </w:r>
    </w:p>
    <w:p w14:paraId="4F24FF60" w14:textId="5965E1F6" w:rsid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 xml:space="preserve">The secret lies in its terroir—vineyards here sit at 3,600 to 4,600 feet, with warm, sunny days, cool nights, and well-drained, sandy-loam soils. </w:t>
      </w:r>
    </w:p>
    <w:p w14:paraId="17B72D89" w14:textId="33B202DF"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The climate is dry enough to minimize disease pressure, and irrigation from the Yellow River keeps the vines in balance.</w:t>
      </w:r>
    </w:p>
    <w:p w14:paraId="418558F2" w14:textId="77777777" w:rsid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lastRenderedPageBreak/>
        <w:t xml:space="preserve">The region’s star is </w:t>
      </w:r>
      <w:r w:rsidRPr="002B26EA">
        <w:rPr>
          <w:rFonts w:asciiTheme="majorBidi" w:hAnsiTheme="majorBidi" w:cstheme="majorBidi"/>
          <w:b/>
          <w:bCs/>
          <w:sz w:val="40"/>
          <w:szCs w:val="40"/>
        </w:rPr>
        <w:t>Cabernet Sauvignon</w:t>
      </w:r>
      <w:r w:rsidRPr="002B26EA">
        <w:rPr>
          <w:rFonts w:asciiTheme="majorBidi" w:hAnsiTheme="majorBidi" w:cstheme="majorBidi"/>
          <w:sz w:val="40"/>
          <w:szCs w:val="40"/>
        </w:rPr>
        <w:t xml:space="preserve">, showing ripe blackcurrant, plum, and cedar, often with a distinct herbal lift from the cool nights. </w:t>
      </w:r>
      <w:proofErr w:type="spellStart"/>
      <w:r w:rsidRPr="002B26EA">
        <w:rPr>
          <w:rFonts w:asciiTheme="majorBidi" w:hAnsiTheme="majorBidi" w:cstheme="majorBidi"/>
          <w:b/>
          <w:bCs/>
          <w:sz w:val="40"/>
          <w:szCs w:val="40"/>
        </w:rPr>
        <w:t>Marselan</w:t>
      </w:r>
      <w:proofErr w:type="spellEnd"/>
      <w:r w:rsidRPr="002B26EA">
        <w:rPr>
          <w:rFonts w:asciiTheme="majorBidi" w:hAnsiTheme="majorBidi" w:cstheme="majorBidi"/>
          <w:sz w:val="40"/>
          <w:szCs w:val="40"/>
        </w:rPr>
        <w:t xml:space="preserve">—a French cross between Cabernet Sauvignon and Grenache—has become Ningxia’s calling card for innovation, producing wines with dark berry fruit, spice, and silky tannins. </w:t>
      </w:r>
    </w:p>
    <w:p w14:paraId="695A9657" w14:textId="2A595E59"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Chardonnay also performs well, ranging from crisp, citrus-driven styles to richer expressions with notes of peach and toasted almond.</w:t>
      </w:r>
    </w:p>
    <w:p w14:paraId="534682F0"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Why Should I Care?</w:t>
      </w:r>
    </w:p>
    <w:p w14:paraId="5CCC72B4" w14:textId="77777777" w:rsid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For drinkers</w:t>
      </w:r>
      <w:r w:rsidRPr="002B26EA">
        <w:rPr>
          <w:rFonts w:asciiTheme="majorBidi" w:hAnsiTheme="majorBidi" w:cstheme="majorBidi"/>
          <w:sz w:val="40"/>
          <w:szCs w:val="40"/>
        </w:rPr>
        <w:t xml:space="preserve">, Ningxia offers wines with the ripeness of warmer climates yet the structure and freshness of cooler ones—a rare combination. </w:t>
      </w:r>
    </w:p>
    <w:p w14:paraId="531A0A47" w14:textId="03D6A6DF"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For enthusiasts</w:t>
      </w:r>
      <w:r w:rsidRPr="002B26EA">
        <w:rPr>
          <w:rFonts w:asciiTheme="majorBidi" w:hAnsiTheme="majorBidi" w:cstheme="majorBidi"/>
          <w:sz w:val="40"/>
          <w:szCs w:val="40"/>
        </w:rPr>
        <w:t>, it’s a living example of how a region can leap from obscurity to global recognition in a single generation, driven by both government support and ambitious winemakers.</w:t>
      </w:r>
    </w:p>
    <w:p w14:paraId="29091E83"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Try this</w:t>
      </w:r>
      <w:r w:rsidRPr="002B26EA">
        <w:rPr>
          <w:rFonts w:asciiTheme="majorBidi" w:hAnsiTheme="majorBidi" w:cstheme="majorBidi"/>
          <w:sz w:val="40"/>
          <w:szCs w:val="40"/>
        </w:rPr>
        <w:t>: Pair a Ningxia Cabernet with Mongolian lamb skewers—the wine’s tannins stand up to the char and spice while its fruit lifts the richness.</w:t>
      </w:r>
    </w:p>
    <w:p w14:paraId="5DE43D76"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Practical Application</w:t>
      </w:r>
    </w:p>
    <w:p w14:paraId="1816C8B6"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lastRenderedPageBreak/>
        <w:t>Helan Mountain East</w:t>
      </w:r>
      <w:r w:rsidRPr="002B26EA">
        <w:rPr>
          <w:rFonts w:asciiTheme="majorBidi" w:hAnsiTheme="majorBidi" w:cstheme="majorBidi"/>
          <w:sz w:val="40"/>
          <w:szCs w:val="40"/>
        </w:rPr>
        <w:t xml:space="preserve"> – The core winegrowing zone; structured reds with firm tannins and aging potential.</w:t>
      </w:r>
    </w:p>
    <w:p w14:paraId="3D1EB6B9" w14:textId="77777777" w:rsidR="002B26EA" w:rsidRPr="002B26EA" w:rsidRDefault="002B26EA" w:rsidP="002B26EA">
      <w:pPr>
        <w:ind w:left="0" w:firstLine="0"/>
        <w:rPr>
          <w:rFonts w:asciiTheme="majorBidi" w:hAnsiTheme="majorBidi" w:cstheme="majorBidi"/>
          <w:sz w:val="40"/>
          <w:szCs w:val="40"/>
        </w:rPr>
      </w:pPr>
      <w:proofErr w:type="spellStart"/>
      <w:r w:rsidRPr="002B26EA">
        <w:rPr>
          <w:rFonts w:asciiTheme="majorBidi" w:hAnsiTheme="majorBidi" w:cstheme="majorBidi"/>
          <w:b/>
          <w:bCs/>
          <w:sz w:val="40"/>
          <w:szCs w:val="40"/>
        </w:rPr>
        <w:t>Qingtongxia</w:t>
      </w:r>
      <w:proofErr w:type="spellEnd"/>
      <w:r w:rsidRPr="002B26EA">
        <w:rPr>
          <w:rFonts w:asciiTheme="majorBidi" w:hAnsiTheme="majorBidi" w:cstheme="majorBidi"/>
          <w:sz w:val="40"/>
          <w:szCs w:val="40"/>
        </w:rPr>
        <w:t xml:space="preserve"> – Slightly lower elevation; ripe fruit and softer styles.</w:t>
      </w:r>
    </w:p>
    <w:p w14:paraId="5E54B16B"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Yinchuan</w:t>
      </w:r>
      <w:r w:rsidRPr="002B26EA">
        <w:rPr>
          <w:rFonts w:asciiTheme="majorBidi" w:hAnsiTheme="majorBidi" w:cstheme="majorBidi"/>
          <w:sz w:val="40"/>
          <w:szCs w:val="40"/>
        </w:rPr>
        <w:t xml:space="preserve"> – Higher elevation; fresh, aromatic wines.</w:t>
      </w:r>
    </w:p>
    <w:p w14:paraId="72274A62"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Pro Tip</w:t>
      </w:r>
      <w:r w:rsidRPr="002B26EA">
        <w:rPr>
          <w:rFonts w:asciiTheme="majorBidi" w:hAnsiTheme="majorBidi" w:cstheme="majorBidi"/>
          <w:sz w:val="40"/>
          <w:szCs w:val="40"/>
        </w:rPr>
        <w:br/>
        <w:t>In Ningxia’s cold winters, vines are buried under soil for protection—a labor-intensive but essential step for survival.</w:t>
      </w:r>
    </w:p>
    <w:p w14:paraId="685D7CBF"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Common Mistakes</w:t>
      </w:r>
      <w:r w:rsidRPr="002B26EA">
        <w:rPr>
          <w:rFonts w:asciiTheme="majorBidi" w:hAnsiTheme="majorBidi" w:cstheme="majorBidi"/>
          <w:sz w:val="40"/>
          <w:szCs w:val="40"/>
        </w:rPr>
        <w:br/>
        <w:t>Don’t assume China’s wine quality is uniform—Ningxia is in a league of its own compared to many other regions.</w:t>
      </w:r>
    </w:p>
    <w:p w14:paraId="6587A1FF"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b/>
          <w:bCs/>
          <w:sz w:val="40"/>
          <w:szCs w:val="40"/>
        </w:rPr>
        <w:t>Quick Reference</w:t>
      </w:r>
    </w:p>
    <w:p w14:paraId="1F5EA215"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Cabernet Sauvignon – Blackcurrant, plum, cedar, herbal lift; pairs with roasted or grilled red meats.</w:t>
      </w:r>
    </w:p>
    <w:p w14:paraId="0C7CCF6E" w14:textId="77777777" w:rsidR="002B26EA" w:rsidRPr="002B26EA" w:rsidRDefault="002B26EA" w:rsidP="002B26EA">
      <w:pPr>
        <w:ind w:left="0" w:firstLine="0"/>
        <w:rPr>
          <w:rFonts w:asciiTheme="majorBidi" w:hAnsiTheme="majorBidi" w:cstheme="majorBidi"/>
          <w:sz w:val="40"/>
          <w:szCs w:val="40"/>
        </w:rPr>
      </w:pPr>
      <w:proofErr w:type="spellStart"/>
      <w:r w:rsidRPr="002B26EA">
        <w:rPr>
          <w:rFonts w:asciiTheme="majorBidi" w:hAnsiTheme="majorBidi" w:cstheme="majorBidi"/>
          <w:sz w:val="40"/>
          <w:szCs w:val="40"/>
        </w:rPr>
        <w:t>Marselan</w:t>
      </w:r>
      <w:proofErr w:type="spellEnd"/>
      <w:r w:rsidRPr="002B26EA">
        <w:rPr>
          <w:rFonts w:asciiTheme="majorBidi" w:hAnsiTheme="majorBidi" w:cstheme="majorBidi"/>
          <w:sz w:val="40"/>
          <w:szCs w:val="40"/>
        </w:rPr>
        <w:t xml:space="preserve"> – Dark berries, spice, silky texture; works with duck, lamb, or mushroom dishes.</w:t>
      </w:r>
    </w:p>
    <w:p w14:paraId="2B2E7399"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Chardonnay – Citrus, peach, almond; ideal with shellfish or creamy poultry dishes.</w:t>
      </w:r>
    </w:p>
    <w:p w14:paraId="301576BF" w14:textId="77777777" w:rsidR="002B26EA"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lastRenderedPageBreak/>
        <w:t xml:space="preserve">Next time on </w:t>
      </w:r>
      <w:r w:rsidRPr="002B26EA">
        <w:rPr>
          <w:rFonts w:asciiTheme="majorBidi" w:hAnsiTheme="majorBidi" w:cstheme="majorBidi"/>
          <w:i/>
          <w:iCs/>
          <w:sz w:val="40"/>
          <w:szCs w:val="40"/>
        </w:rPr>
        <w:t>Wine Regions Revealed</w:t>
      </w:r>
      <w:r w:rsidRPr="002B26EA">
        <w:rPr>
          <w:rFonts w:asciiTheme="majorBidi" w:hAnsiTheme="majorBidi" w:cstheme="majorBidi"/>
          <w:sz w:val="40"/>
          <w:szCs w:val="40"/>
        </w:rPr>
        <w:t xml:space="preserve">, we’ll head to Yamanashi in Japan, where the delicate </w:t>
      </w:r>
      <w:proofErr w:type="spellStart"/>
      <w:r w:rsidRPr="002B26EA">
        <w:rPr>
          <w:rFonts w:asciiTheme="majorBidi" w:hAnsiTheme="majorBidi" w:cstheme="majorBidi"/>
          <w:sz w:val="40"/>
          <w:szCs w:val="40"/>
        </w:rPr>
        <w:t>Koshu</w:t>
      </w:r>
      <w:proofErr w:type="spellEnd"/>
      <w:r w:rsidRPr="002B26EA">
        <w:rPr>
          <w:rFonts w:asciiTheme="majorBidi" w:hAnsiTheme="majorBidi" w:cstheme="majorBidi"/>
          <w:sz w:val="40"/>
          <w:szCs w:val="40"/>
        </w:rPr>
        <w:t xml:space="preserve"> grape reflects centuries of history and precision.</w:t>
      </w:r>
    </w:p>
    <w:p w14:paraId="065850F4" w14:textId="56BBF5EF" w:rsidR="00AA659B" w:rsidRPr="002B26EA" w:rsidRDefault="002B26EA" w:rsidP="002B26EA">
      <w:pPr>
        <w:ind w:left="0" w:firstLine="0"/>
        <w:rPr>
          <w:rFonts w:asciiTheme="majorBidi" w:hAnsiTheme="majorBidi" w:cstheme="majorBidi"/>
          <w:sz w:val="40"/>
          <w:szCs w:val="40"/>
        </w:rPr>
      </w:pPr>
      <w:r w:rsidRPr="002B26EA">
        <w:rPr>
          <w:rFonts w:asciiTheme="majorBidi" w:hAnsiTheme="majorBidi" w:cstheme="majorBidi"/>
          <w:sz w:val="40"/>
          <w:szCs w:val="40"/>
        </w:rPr>
        <w:t>Until then, raise a glass from Ningxia and taste how ambition, altitude, and arid mountain air have reshaped the map of fine wine.</w:t>
      </w:r>
    </w:p>
    <w:sectPr w:rsidR="00AA659B" w:rsidRPr="002B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E7139"/>
    <w:multiLevelType w:val="multilevel"/>
    <w:tmpl w:val="F0F6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25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9B"/>
    <w:rsid w:val="00143158"/>
    <w:rsid w:val="001D0175"/>
    <w:rsid w:val="002B26EA"/>
    <w:rsid w:val="004C11CC"/>
    <w:rsid w:val="0071042E"/>
    <w:rsid w:val="008D3D73"/>
    <w:rsid w:val="009D27F9"/>
    <w:rsid w:val="00AA659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871C"/>
  <w15:chartTrackingRefBased/>
  <w15:docId w15:val="{FC2F8A4C-E05B-4073-A540-EA171010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6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5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5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5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5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65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5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5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5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59B"/>
    <w:rPr>
      <w:rFonts w:eastAsiaTheme="majorEastAsia" w:cstheme="majorBidi"/>
      <w:color w:val="272727" w:themeColor="text1" w:themeTint="D8"/>
    </w:rPr>
  </w:style>
  <w:style w:type="paragraph" w:styleId="Title">
    <w:name w:val="Title"/>
    <w:basedOn w:val="Normal"/>
    <w:next w:val="Normal"/>
    <w:link w:val="TitleChar"/>
    <w:uiPriority w:val="10"/>
    <w:qFormat/>
    <w:rsid w:val="00AA6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59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59B"/>
    <w:pPr>
      <w:spacing w:before="160"/>
      <w:jc w:val="center"/>
    </w:pPr>
    <w:rPr>
      <w:i/>
      <w:iCs/>
      <w:color w:val="404040" w:themeColor="text1" w:themeTint="BF"/>
    </w:rPr>
  </w:style>
  <w:style w:type="character" w:customStyle="1" w:styleId="QuoteChar">
    <w:name w:val="Quote Char"/>
    <w:basedOn w:val="DefaultParagraphFont"/>
    <w:link w:val="Quote"/>
    <w:uiPriority w:val="29"/>
    <w:rsid w:val="00AA659B"/>
    <w:rPr>
      <w:i/>
      <w:iCs/>
      <w:color w:val="404040" w:themeColor="text1" w:themeTint="BF"/>
    </w:rPr>
  </w:style>
  <w:style w:type="paragraph" w:styleId="ListParagraph">
    <w:name w:val="List Paragraph"/>
    <w:basedOn w:val="Normal"/>
    <w:uiPriority w:val="34"/>
    <w:qFormat/>
    <w:rsid w:val="00AA659B"/>
    <w:pPr>
      <w:ind w:left="720"/>
      <w:contextualSpacing/>
    </w:pPr>
  </w:style>
  <w:style w:type="character" w:styleId="IntenseEmphasis">
    <w:name w:val="Intense Emphasis"/>
    <w:basedOn w:val="DefaultParagraphFont"/>
    <w:uiPriority w:val="21"/>
    <w:qFormat/>
    <w:rsid w:val="00AA659B"/>
    <w:rPr>
      <w:i/>
      <w:iCs/>
      <w:color w:val="2F5496" w:themeColor="accent1" w:themeShade="BF"/>
    </w:rPr>
  </w:style>
  <w:style w:type="paragraph" w:styleId="IntenseQuote">
    <w:name w:val="Intense Quote"/>
    <w:basedOn w:val="Normal"/>
    <w:next w:val="Normal"/>
    <w:link w:val="IntenseQuoteChar"/>
    <w:uiPriority w:val="30"/>
    <w:qFormat/>
    <w:rsid w:val="00AA6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59B"/>
    <w:rPr>
      <w:i/>
      <w:iCs/>
      <w:color w:val="2F5496" w:themeColor="accent1" w:themeShade="BF"/>
    </w:rPr>
  </w:style>
  <w:style w:type="character" w:styleId="IntenseReference">
    <w:name w:val="Intense Reference"/>
    <w:basedOn w:val="DefaultParagraphFont"/>
    <w:uiPriority w:val="32"/>
    <w:qFormat/>
    <w:rsid w:val="00AA6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2025-08-08T01:28:00Z</dcterms:created>
  <dcterms:modified xsi:type="dcterms:W3CDTF">2025-08-12T01:26:00Z</dcterms:modified>
</cp:coreProperties>
</file>