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6146" w14:textId="073A3E3B" w:rsidR="00127C09" w:rsidRPr="00127C09" w:rsidRDefault="00570ACF" w:rsidP="00127C09">
      <w:pPr>
        <w:ind w:left="0" w:firstLine="0"/>
        <w:jc w:val="center"/>
        <w:rPr>
          <w:rFonts w:asciiTheme="majorBidi" w:hAnsiTheme="majorBidi" w:cstheme="majorBidi"/>
          <w:sz w:val="48"/>
          <w:szCs w:val="48"/>
        </w:rPr>
      </w:pPr>
      <w:r w:rsidRPr="00570ACF">
        <w:rPr>
          <w:rFonts w:asciiTheme="majorBidi" w:hAnsiTheme="majorBidi" w:cstheme="majorBidi"/>
          <w:sz w:val="48"/>
          <w:szCs w:val="48"/>
        </w:rPr>
        <w:t xml:space="preserve">Earth’s Poles </w:t>
      </w:r>
      <w:r w:rsidR="00510DAB" w:rsidRPr="00570ACF">
        <w:rPr>
          <w:rFonts w:asciiTheme="majorBidi" w:hAnsiTheme="majorBidi" w:cstheme="majorBidi"/>
          <w:sz w:val="48"/>
          <w:szCs w:val="48"/>
        </w:rPr>
        <w:t>the</w:t>
      </w:r>
      <w:r w:rsidRPr="00570ACF">
        <w:rPr>
          <w:rFonts w:asciiTheme="majorBidi" w:hAnsiTheme="majorBidi" w:cstheme="majorBidi"/>
          <w:sz w:val="48"/>
          <w:szCs w:val="48"/>
        </w:rPr>
        <w:t xml:space="preserve"> Edges of Survival</w:t>
      </w:r>
    </w:p>
    <w:p w14:paraId="7682EC98" w14:textId="19C8D844" w:rsidR="00570ACF" w:rsidRPr="00570ACF" w:rsidRDefault="00570ACF" w:rsidP="00127C09">
      <w:pPr>
        <w:ind w:left="0" w:firstLine="0"/>
        <w:jc w:val="center"/>
        <w:rPr>
          <w:rFonts w:asciiTheme="majorBidi" w:hAnsiTheme="majorBidi" w:cstheme="majorBidi"/>
          <w:sz w:val="44"/>
          <w:szCs w:val="44"/>
        </w:rPr>
      </w:pPr>
      <w:r w:rsidRPr="00570ACF">
        <w:rPr>
          <w:rFonts w:asciiTheme="majorBidi" w:hAnsiTheme="majorBidi" w:cstheme="majorBidi"/>
          <w:sz w:val="44"/>
          <w:szCs w:val="44"/>
        </w:rPr>
        <w:t>By Marc Silver</w:t>
      </w:r>
    </w:p>
    <w:p w14:paraId="1B49BBC5" w14:textId="77777777" w:rsidR="00127C09" w:rsidRPr="00127C09" w:rsidRDefault="00127C09" w:rsidP="00127C09">
      <w:pPr>
        <w:ind w:left="0" w:firstLine="0"/>
        <w:rPr>
          <w:rFonts w:asciiTheme="majorBidi" w:hAnsiTheme="majorBidi" w:cstheme="majorBidi"/>
          <w:b/>
          <w:bCs/>
          <w:sz w:val="32"/>
          <w:szCs w:val="32"/>
        </w:rPr>
      </w:pPr>
      <w:r w:rsidRPr="00127C09">
        <w:rPr>
          <w:rFonts w:asciiTheme="majorBidi" w:hAnsiTheme="majorBidi" w:cstheme="majorBidi"/>
          <w:b/>
          <w:bCs/>
          <w:sz w:val="32"/>
          <w:szCs w:val="32"/>
        </w:rPr>
        <w:t>The Ends of the Earth, the Frontlines of Change</w:t>
      </w:r>
    </w:p>
    <w:p w14:paraId="2062B50E" w14:textId="77777777" w:rsidR="00510DAB"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At the planet's most remote and unforgiving edges, the Arctic and Antarctic are no longer frozen symbols of stillness. They’re now bellwethers of change</w:t>
      </w:r>
      <w:r w:rsidR="00510DAB">
        <w:rPr>
          <w:rFonts w:asciiTheme="majorBidi" w:hAnsiTheme="majorBidi" w:cstheme="majorBidi"/>
          <w:sz w:val="32"/>
          <w:szCs w:val="32"/>
        </w:rPr>
        <w:t xml:space="preserve">, </w:t>
      </w:r>
      <w:r w:rsidRPr="00127C09">
        <w:rPr>
          <w:rFonts w:asciiTheme="majorBidi" w:hAnsiTheme="majorBidi" w:cstheme="majorBidi"/>
          <w:sz w:val="32"/>
          <w:szCs w:val="32"/>
        </w:rPr>
        <w:t xml:space="preserve">dramatic, urgent, and far-reaching. </w:t>
      </w:r>
    </w:p>
    <w:p w14:paraId="7CD6FD5B" w14:textId="77777777" w:rsidR="00510DAB"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 xml:space="preserve">In the Arctic, where Indigenous cultures have thrived for thousands of years, rising temperatures are unraveling the threads that hold together tradition and environment. </w:t>
      </w:r>
    </w:p>
    <w:p w14:paraId="76B524E4" w14:textId="05C8A10C"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Meanwhile, in the Antarctic, a land with no permanent human population, scientists race to measure ice loss that could redraw global coastlines. These are not distant or abstract concerns</w:t>
      </w:r>
      <w:r w:rsidR="00510DAB">
        <w:rPr>
          <w:rFonts w:asciiTheme="majorBidi" w:hAnsiTheme="majorBidi" w:cstheme="majorBidi"/>
          <w:sz w:val="32"/>
          <w:szCs w:val="32"/>
        </w:rPr>
        <w:t xml:space="preserve">, </w:t>
      </w:r>
      <w:r w:rsidRPr="00127C09">
        <w:rPr>
          <w:rFonts w:asciiTheme="majorBidi" w:hAnsiTheme="majorBidi" w:cstheme="majorBidi"/>
          <w:sz w:val="32"/>
          <w:szCs w:val="32"/>
        </w:rPr>
        <w:t>they are pressing reminders that climate change starts at the margins but won’t stay there.</w:t>
      </w:r>
    </w:p>
    <w:p w14:paraId="1E55451A" w14:textId="77777777" w:rsidR="00127C09" w:rsidRPr="00127C09" w:rsidRDefault="00127C09" w:rsidP="00127C09">
      <w:pPr>
        <w:ind w:left="0" w:firstLine="0"/>
        <w:rPr>
          <w:rFonts w:asciiTheme="majorBidi" w:hAnsiTheme="majorBidi" w:cstheme="majorBidi"/>
          <w:b/>
          <w:bCs/>
          <w:sz w:val="32"/>
          <w:szCs w:val="32"/>
        </w:rPr>
      </w:pPr>
      <w:r w:rsidRPr="00127C09">
        <w:rPr>
          <w:rFonts w:asciiTheme="majorBidi" w:hAnsiTheme="majorBidi" w:cstheme="majorBidi"/>
          <w:b/>
          <w:bCs/>
          <w:sz w:val="32"/>
          <w:szCs w:val="32"/>
        </w:rPr>
        <w:t>The Arctic: Melting Traditions and Rising Resistance</w:t>
      </w:r>
    </w:p>
    <w:p w14:paraId="4848BD1A"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The Arctic Circle spans eight nations and is home to more than four million people, many of them Indigenous. This includes the Sámi of Northern Europe, the Inuit across Greenland, Canada, and Alaska, and the Chukchi and Nenets of Russia. These peoples have thrived in this unforgiving climate through sophisticated ecological knowledge and deep-rooted cultural practices.</w:t>
      </w:r>
    </w:p>
    <w:p w14:paraId="298B734D" w14:textId="3993734B"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For generations, the land, sea, and ice have shaped life here. Reindeer herding, subsistence hunting, and seasonal fishing are not merely economic activities</w:t>
      </w:r>
      <w:r w:rsidR="00510DAB">
        <w:rPr>
          <w:rFonts w:asciiTheme="majorBidi" w:hAnsiTheme="majorBidi" w:cstheme="majorBidi"/>
          <w:sz w:val="32"/>
          <w:szCs w:val="32"/>
        </w:rPr>
        <w:t xml:space="preserve">, </w:t>
      </w:r>
      <w:r w:rsidRPr="00127C09">
        <w:rPr>
          <w:rFonts w:asciiTheme="majorBidi" w:hAnsiTheme="majorBidi" w:cstheme="majorBidi"/>
          <w:sz w:val="32"/>
          <w:szCs w:val="32"/>
        </w:rPr>
        <w:t>they are expressions of identity. Indigenous languages such as Inuktitut and Sámi hold concepts that describe the texture of snow, the direction of wind, or the thickness of ice</w:t>
      </w:r>
      <w:r w:rsidR="00510DAB">
        <w:rPr>
          <w:rFonts w:asciiTheme="majorBidi" w:hAnsiTheme="majorBidi" w:cstheme="majorBidi"/>
          <w:sz w:val="32"/>
          <w:szCs w:val="32"/>
        </w:rPr>
        <w:t xml:space="preserve">, </w:t>
      </w:r>
      <w:r w:rsidRPr="00127C09">
        <w:rPr>
          <w:rFonts w:asciiTheme="majorBidi" w:hAnsiTheme="majorBidi" w:cstheme="majorBidi"/>
          <w:sz w:val="32"/>
          <w:szCs w:val="32"/>
        </w:rPr>
        <w:t>details that can mean survival.</w:t>
      </w:r>
    </w:p>
    <w:p w14:paraId="65D3172E"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lastRenderedPageBreak/>
        <w:t xml:space="preserve">But the Arctic is warming nearly four times faster than the global average. Traditional knowledge systems are being disrupted. Permafrost is thawing, undermining homes and traditional food storage pits. Thinning sea ice is complicating travel routes and making hunting dangerous. Entire communities in Alaska, such as </w:t>
      </w:r>
      <w:proofErr w:type="spellStart"/>
      <w:r w:rsidRPr="00127C09">
        <w:rPr>
          <w:rFonts w:asciiTheme="majorBidi" w:hAnsiTheme="majorBidi" w:cstheme="majorBidi"/>
          <w:sz w:val="32"/>
          <w:szCs w:val="32"/>
        </w:rPr>
        <w:t>Shishmaref</w:t>
      </w:r>
      <w:proofErr w:type="spellEnd"/>
      <w:r w:rsidRPr="00127C09">
        <w:rPr>
          <w:rFonts w:asciiTheme="majorBidi" w:hAnsiTheme="majorBidi" w:cstheme="majorBidi"/>
          <w:sz w:val="32"/>
          <w:szCs w:val="32"/>
        </w:rPr>
        <w:t xml:space="preserve"> and Kivalina, face imminent relocation due to coastal erosion.</w:t>
      </w:r>
    </w:p>
    <w:p w14:paraId="6E2D211D"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In Norway, Sámi herders are struggling with erratic weather patterns. Freezing rain creates layers of ice that prevent reindeer from foraging through the snow, resulting in mass starvation. In Canada’s Nunavut, hunters speak of seals and walruses showing up in unfamiliar areas, and polar bears scavenging closer to town centers.</w:t>
      </w:r>
    </w:p>
    <w:p w14:paraId="545C5AD5" w14:textId="3F626D12"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 xml:space="preserve">Despite these challenges, Arctic communities are leading innovative responses. The </w:t>
      </w:r>
      <w:r w:rsidR="00510DAB" w:rsidRPr="00127C09">
        <w:rPr>
          <w:rFonts w:asciiTheme="majorBidi" w:hAnsiTheme="majorBidi" w:cstheme="majorBidi"/>
          <w:sz w:val="32"/>
          <w:szCs w:val="32"/>
        </w:rPr>
        <w:t>Smart ICE</w:t>
      </w:r>
      <w:r w:rsidRPr="00127C09">
        <w:rPr>
          <w:rFonts w:asciiTheme="majorBidi" w:hAnsiTheme="majorBidi" w:cstheme="majorBidi"/>
          <w:sz w:val="32"/>
          <w:szCs w:val="32"/>
        </w:rPr>
        <w:t xml:space="preserve"> initiative in Canada combines Inuit knowledge with ice sensors and satellite data to monitor ice conditions in real time. Sámi youth are integrating drone technology into herding while advocating for Indigenous rights in European parliaments. In Alaska, tribal governments are drafting climate adaptation plans that blend ancestral wisdom with contemporary science.</w:t>
      </w:r>
    </w:p>
    <w:p w14:paraId="76157C9C"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Language revitalization efforts are also underway. Community-run language nests in Greenland and Norway are helping children learn their mother tongues, preserving crucial cultural knowledge. In Russia, mobile schools follow reindeer herding routes, ensuring children stay connected to tradition while gaining modern education.</w:t>
      </w:r>
    </w:p>
    <w:p w14:paraId="315A67B5"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Global audiences are also beginning to listen. Indigenous leaders such as Sheila Watt-Cloutier and Aaju Peter speak on international stages, urging world leaders to see climate change not only as an environmental crisis but as a human rights issue. “The right to be cold,” Watt-Cloutier says, “is the right to our way of life.”</w:t>
      </w:r>
    </w:p>
    <w:p w14:paraId="7449481E" w14:textId="77777777" w:rsidR="00127C09" w:rsidRPr="00127C09" w:rsidRDefault="00127C09" w:rsidP="00127C09">
      <w:pPr>
        <w:ind w:left="0" w:firstLine="0"/>
        <w:rPr>
          <w:rFonts w:asciiTheme="majorBidi" w:hAnsiTheme="majorBidi" w:cstheme="majorBidi"/>
          <w:b/>
          <w:bCs/>
          <w:sz w:val="32"/>
          <w:szCs w:val="32"/>
        </w:rPr>
      </w:pPr>
      <w:r w:rsidRPr="00127C09">
        <w:rPr>
          <w:rFonts w:asciiTheme="majorBidi" w:hAnsiTheme="majorBidi" w:cstheme="majorBidi"/>
          <w:b/>
          <w:bCs/>
          <w:sz w:val="32"/>
          <w:szCs w:val="32"/>
        </w:rPr>
        <w:lastRenderedPageBreak/>
        <w:t>Antarctica: A Continent Without a People, But Not Without Stakes</w:t>
      </w:r>
    </w:p>
    <w:p w14:paraId="3A609E09"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While Antarctica lacks Indigenous peoples or permanent residents, it plays a critical role in the Earth’s climate system. Governed by the Antarctic Treaty System, which bans military activity and resource extraction, the continent is a rare example of international cooperation. Yet the ice is telling a different story.</w:t>
      </w:r>
    </w:p>
    <w:p w14:paraId="279B91EB"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Antarctica contains 90% of the planet’s ice. If all of it melted, global sea levels would rise by over 200 feet. The West Antarctic Ice Sheet is particularly vulnerable due to warm ocean currents undercutting ice shelves. Glaciers like Thwaites, often referred to as the “Doomsday Glacier,” are retreating faster than expected. Scientists warn of a potential tipping point where rapid collapse becomes irreversible.</w:t>
      </w:r>
    </w:p>
    <w:p w14:paraId="1639A543"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Recent studies show that East Antarctica, once thought stable, is also losing mass. Satellite data reveal that warmer air temperatures are triggering surface melt and weakening ice shelf integrity. This means Antarctica’s future may not be as distant as once believed.</w:t>
      </w:r>
    </w:p>
    <w:p w14:paraId="3C85BA5B"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Climate disruption is also reshaping Antarctic ecosystems. Krill populations, a foundation of the food web, are declining in some regions due to shrinking sea ice. Adélie and Emperor penguin colonies are relocating or collapsing. Whales and seals must adapt to changing prey availability and altered migration paths.</w:t>
      </w:r>
    </w:p>
    <w:p w14:paraId="714B05AE"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Human activity in Antarctica, though regulated, is growing. Research stations have increased in number and complexity, and more than 100,000 tourists visit each year. While guidelines aim to minimize impact, concerns about pollution, habitat disturbance, and potential biosecurity risks persist. Even minor shifts in human behavior can have long-term ecological effects in such a fragile environment.</w:t>
      </w:r>
    </w:p>
    <w:p w14:paraId="6625CF22"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lastRenderedPageBreak/>
        <w:t>There’s also a political undercurrent. While the Antarctic Treaty prohibits resource extraction, some nations are positioning themselves for a post-treaty future. Geological surveys, research outposts, and territorial claims suggest a quiet competition. Whether Antarctica remains a reserve for peace and science will depend on diplomatic will.</w:t>
      </w:r>
    </w:p>
    <w:p w14:paraId="53882CFB"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Still, the continent remains a model of restraint. Unlike the Arctic, which is subject to national interests and resource development, Antarctica’s legal framework sets a precedent for prioritizing global interest over immediate gain.</w:t>
      </w:r>
    </w:p>
    <w:p w14:paraId="2A328D06" w14:textId="77777777" w:rsidR="00127C09" w:rsidRPr="00127C09" w:rsidRDefault="00127C09" w:rsidP="00127C09">
      <w:pPr>
        <w:ind w:left="0" w:firstLine="0"/>
        <w:rPr>
          <w:rFonts w:asciiTheme="majorBidi" w:hAnsiTheme="majorBidi" w:cstheme="majorBidi"/>
          <w:b/>
          <w:bCs/>
          <w:sz w:val="32"/>
          <w:szCs w:val="32"/>
        </w:rPr>
      </w:pPr>
      <w:r w:rsidRPr="00127C09">
        <w:rPr>
          <w:rFonts w:asciiTheme="majorBidi" w:hAnsiTheme="majorBidi" w:cstheme="majorBidi"/>
          <w:b/>
          <w:bCs/>
          <w:sz w:val="32"/>
          <w:szCs w:val="32"/>
        </w:rPr>
        <w:t>Bridging the Poles: Shared Lessons from Opposite Ends</w:t>
      </w:r>
    </w:p>
    <w:p w14:paraId="7058F1F9" w14:textId="632ECBF0"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Despite their differences, the Arctic and Antarctic are linked by common challenges and global implications. Both regions serve as early warning systems for planetary health. As polar ice melts, sea levels rise, jet streams wobble, and weather patterns across continents shift. The poles are not isolated</w:t>
      </w:r>
      <w:r w:rsidR="00510DAB">
        <w:rPr>
          <w:rFonts w:asciiTheme="majorBidi" w:hAnsiTheme="majorBidi" w:cstheme="majorBidi"/>
          <w:sz w:val="32"/>
          <w:szCs w:val="32"/>
        </w:rPr>
        <w:t xml:space="preserve">, </w:t>
      </w:r>
      <w:r w:rsidRPr="00127C09">
        <w:rPr>
          <w:rFonts w:asciiTheme="majorBidi" w:hAnsiTheme="majorBidi" w:cstheme="majorBidi"/>
          <w:sz w:val="32"/>
          <w:szCs w:val="32"/>
        </w:rPr>
        <w:t>they’re integrally connected to the rest of the Earth.</w:t>
      </w:r>
    </w:p>
    <w:p w14:paraId="1F47D2A6"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The Arctic teaches us about resilience. Indigenous communities have long adapted to change, using deep cultural knowledge to navigate hardship. Their voices underscore the importance of listening to local knowledge when crafting global climate solutions.</w:t>
      </w:r>
    </w:p>
    <w:p w14:paraId="2168E114"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Antarctica teaches us about restraint. The multinational commitment to peace and science there is an extraordinary example of how humanity can manage shared resources. If such collaboration is possible at the bottom of the world, it can be a template elsewhere.</w:t>
      </w:r>
    </w:p>
    <w:p w14:paraId="4F8F8DA3"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Together, these polar regions offer a dual lens: one showing how people survive amid climate transformation, and one showing how the absence of human settlement can inform our approach to shared governance. Both contain lessons in humility, adaptation, and foresight.</w:t>
      </w:r>
    </w:p>
    <w:p w14:paraId="51398A18"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lastRenderedPageBreak/>
        <w:t xml:space="preserve">Inuit elder Myna </w:t>
      </w:r>
      <w:proofErr w:type="spellStart"/>
      <w:r w:rsidRPr="00127C09">
        <w:rPr>
          <w:rFonts w:asciiTheme="majorBidi" w:hAnsiTheme="majorBidi" w:cstheme="majorBidi"/>
          <w:sz w:val="32"/>
          <w:szCs w:val="32"/>
        </w:rPr>
        <w:t>Ishulutak</w:t>
      </w:r>
      <w:proofErr w:type="spellEnd"/>
      <w:r w:rsidRPr="00127C09">
        <w:rPr>
          <w:rFonts w:asciiTheme="majorBidi" w:hAnsiTheme="majorBidi" w:cstheme="majorBidi"/>
          <w:sz w:val="32"/>
          <w:szCs w:val="32"/>
        </w:rPr>
        <w:t xml:space="preserve"> put it simply: “We know the land. We see it changing. When we speak, you should listen.” And Antarctic researcher Dr. Nerilie Abram echoed the sentiment from a different angle: “Every bit of warming here rewrites what we thought we knew about the planet.”</w:t>
      </w:r>
    </w:p>
    <w:p w14:paraId="2773996E" w14:textId="77777777" w:rsidR="00127C09" w:rsidRPr="00127C09" w:rsidRDefault="00127C09" w:rsidP="00127C09">
      <w:pPr>
        <w:ind w:left="0" w:firstLine="0"/>
        <w:rPr>
          <w:rFonts w:asciiTheme="majorBidi" w:hAnsiTheme="majorBidi" w:cstheme="majorBidi"/>
          <w:b/>
          <w:bCs/>
          <w:sz w:val="32"/>
          <w:szCs w:val="32"/>
        </w:rPr>
      </w:pPr>
      <w:r w:rsidRPr="00127C09">
        <w:rPr>
          <w:rFonts w:asciiTheme="majorBidi" w:hAnsiTheme="majorBidi" w:cstheme="majorBidi"/>
          <w:b/>
          <w:bCs/>
          <w:sz w:val="32"/>
          <w:szCs w:val="32"/>
        </w:rPr>
        <w:t>Conclusion: Survival at the Margins</w:t>
      </w:r>
    </w:p>
    <w:p w14:paraId="18D1DB38"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The poles are not where the world ends. They are where its limits are tested. What happens at Earth’s edges will shape its center. The Arctic reveals how cultural survival is linked to environmental resilience. Antarctica challenges us to protect a land not because we live there, but because its fate shapes our own.</w:t>
      </w:r>
    </w:p>
    <w:p w14:paraId="45D3A70B" w14:textId="77777777" w:rsidR="00127C09" w:rsidRPr="00127C09" w:rsidRDefault="00127C09" w:rsidP="00127C09">
      <w:pPr>
        <w:ind w:left="0" w:firstLine="0"/>
        <w:rPr>
          <w:rFonts w:asciiTheme="majorBidi" w:hAnsiTheme="majorBidi" w:cstheme="majorBidi"/>
          <w:sz w:val="32"/>
          <w:szCs w:val="32"/>
        </w:rPr>
      </w:pPr>
      <w:r w:rsidRPr="00127C09">
        <w:rPr>
          <w:rFonts w:asciiTheme="majorBidi" w:hAnsiTheme="majorBidi" w:cstheme="majorBidi"/>
          <w:sz w:val="32"/>
          <w:szCs w:val="32"/>
        </w:rPr>
        <w:t>At these extremes, warmth is rising. Whether that warmth signals collapse or connection depends not on natural cycles alone, but on the choices we make together.</w:t>
      </w:r>
    </w:p>
    <w:p w14:paraId="63BC3792" w14:textId="77777777" w:rsidR="00127C09" w:rsidRPr="00127C09" w:rsidRDefault="00127C09" w:rsidP="00127C09">
      <w:pPr>
        <w:ind w:left="0" w:firstLine="0"/>
        <w:rPr>
          <w:rFonts w:asciiTheme="majorBidi" w:hAnsiTheme="majorBidi" w:cstheme="majorBidi"/>
          <w:b/>
          <w:bCs/>
          <w:sz w:val="32"/>
          <w:szCs w:val="32"/>
        </w:rPr>
      </w:pPr>
      <w:r w:rsidRPr="00127C09">
        <w:rPr>
          <w:rFonts w:asciiTheme="majorBidi" w:hAnsiTheme="majorBidi" w:cstheme="majorBidi"/>
          <w:b/>
          <w:bCs/>
          <w:sz w:val="32"/>
          <w:szCs w:val="32"/>
        </w:rPr>
        <w:t>Further Exploration</w:t>
      </w:r>
    </w:p>
    <w:p w14:paraId="46ACCF6E"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 xml:space="preserve">Barry Lopez, </w:t>
      </w:r>
      <w:r w:rsidRPr="00127C09">
        <w:rPr>
          <w:rFonts w:asciiTheme="majorBidi" w:hAnsiTheme="majorBidi" w:cstheme="majorBidi"/>
          <w:i/>
          <w:iCs/>
          <w:sz w:val="32"/>
          <w:szCs w:val="32"/>
        </w:rPr>
        <w:t>Arctic Dreams</w:t>
      </w:r>
    </w:p>
    <w:p w14:paraId="6E9E7E4F"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 xml:space="preserve">Sheila Watt-Cloutier, </w:t>
      </w:r>
      <w:r w:rsidRPr="00127C09">
        <w:rPr>
          <w:rFonts w:asciiTheme="majorBidi" w:hAnsiTheme="majorBidi" w:cstheme="majorBidi"/>
          <w:i/>
          <w:iCs/>
          <w:sz w:val="32"/>
          <w:szCs w:val="32"/>
        </w:rPr>
        <w:t>The Right to Be Cold</w:t>
      </w:r>
    </w:p>
    <w:p w14:paraId="51608440"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 xml:space="preserve">Klaus Dodds, </w:t>
      </w:r>
      <w:r w:rsidRPr="00127C09">
        <w:rPr>
          <w:rFonts w:asciiTheme="majorBidi" w:hAnsiTheme="majorBidi" w:cstheme="majorBidi"/>
          <w:i/>
          <w:iCs/>
          <w:sz w:val="32"/>
          <w:szCs w:val="32"/>
        </w:rPr>
        <w:t>Geographies of the Antarctic</w:t>
      </w:r>
    </w:p>
    <w:p w14:paraId="7EBE6649"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The Arctic Council: arctic-council.org</w:t>
      </w:r>
    </w:p>
    <w:p w14:paraId="6966F2F5"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The Antarctic Treaty Secretariat: ats.aq</w:t>
      </w:r>
    </w:p>
    <w:p w14:paraId="2D838556"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National Snow and Ice Data Center: nsidc.org</w:t>
      </w:r>
    </w:p>
    <w:p w14:paraId="299EF009" w14:textId="77777777" w:rsidR="00127C09" w:rsidRPr="00127C09" w:rsidRDefault="00127C09" w:rsidP="00127C09">
      <w:pPr>
        <w:numPr>
          <w:ilvl w:val="0"/>
          <w:numId w:val="6"/>
        </w:numPr>
        <w:rPr>
          <w:rFonts w:asciiTheme="majorBidi" w:hAnsiTheme="majorBidi" w:cstheme="majorBidi"/>
          <w:sz w:val="32"/>
          <w:szCs w:val="32"/>
        </w:rPr>
      </w:pPr>
      <w:r w:rsidRPr="00127C09">
        <w:rPr>
          <w:rFonts w:asciiTheme="majorBidi" w:hAnsiTheme="majorBidi" w:cstheme="majorBidi"/>
          <w:sz w:val="32"/>
          <w:szCs w:val="32"/>
        </w:rPr>
        <w:t>IPCC Special Report on the Ocean and Cryosphere</w:t>
      </w:r>
    </w:p>
    <w:sectPr w:rsidR="00127C09" w:rsidRPr="00127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4EB3"/>
    <w:multiLevelType w:val="multilevel"/>
    <w:tmpl w:val="DDD2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04A4B"/>
    <w:multiLevelType w:val="multilevel"/>
    <w:tmpl w:val="D09A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D1473"/>
    <w:multiLevelType w:val="multilevel"/>
    <w:tmpl w:val="5E62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35FA7"/>
    <w:multiLevelType w:val="multilevel"/>
    <w:tmpl w:val="875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B25DA"/>
    <w:multiLevelType w:val="multilevel"/>
    <w:tmpl w:val="90D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04DAB"/>
    <w:multiLevelType w:val="multilevel"/>
    <w:tmpl w:val="B5A2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0634">
    <w:abstractNumId w:val="0"/>
  </w:num>
  <w:num w:numId="2" w16cid:durableId="178350399">
    <w:abstractNumId w:val="5"/>
  </w:num>
  <w:num w:numId="3" w16cid:durableId="539786555">
    <w:abstractNumId w:val="2"/>
  </w:num>
  <w:num w:numId="4" w16cid:durableId="1078409286">
    <w:abstractNumId w:val="4"/>
  </w:num>
  <w:num w:numId="5" w16cid:durableId="1846507799">
    <w:abstractNumId w:val="3"/>
  </w:num>
  <w:num w:numId="6" w16cid:durableId="184759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0F"/>
    <w:rsid w:val="000E7C73"/>
    <w:rsid w:val="00127C09"/>
    <w:rsid w:val="00143158"/>
    <w:rsid w:val="00510DAB"/>
    <w:rsid w:val="00570ACF"/>
    <w:rsid w:val="00673C95"/>
    <w:rsid w:val="008D3D73"/>
    <w:rsid w:val="00AC4C01"/>
    <w:rsid w:val="00AC53C6"/>
    <w:rsid w:val="00CD610F"/>
    <w:rsid w:val="00ED05A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0494"/>
  <w15:chartTrackingRefBased/>
  <w15:docId w15:val="{18F2F13D-C4E6-403E-8DFD-FCD18456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10F"/>
    <w:rPr>
      <w:rFonts w:eastAsiaTheme="majorEastAsia" w:cstheme="majorBidi"/>
      <w:color w:val="272727" w:themeColor="text1" w:themeTint="D8"/>
    </w:rPr>
  </w:style>
  <w:style w:type="paragraph" w:styleId="Title">
    <w:name w:val="Title"/>
    <w:basedOn w:val="Normal"/>
    <w:next w:val="Normal"/>
    <w:link w:val="TitleChar"/>
    <w:uiPriority w:val="10"/>
    <w:qFormat/>
    <w:rsid w:val="00CD6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10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10F"/>
    <w:pPr>
      <w:spacing w:before="160"/>
      <w:jc w:val="center"/>
    </w:pPr>
    <w:rPr>
      <w:i/>
      <w:iCs/>
      <w:color w:val="404040" w:themeColor="text1" w:themeTint="BF"/>
    </w:rPr>
  </w:style>
  <w:style w:type="character" w:customStyle="1" w:styleId="QuoteChar">
    <w:name w:val="Quote Char"/>
    <w:basedOn w:val="DefaultParagraphFont"/>
    <w:link w:val="Quote"/>
    <w:uiPriority w:val="29"/>
    <w:rsid w:val="00CD610F"/>
    <w:rPr>
      <w:i/>
      <w:iCs/>
      <w:color w:val="404040" w:themeColor="text1" w:themeTint="BF"/>
    </w:rPr>
  </w:style>
  <w:style w:type="paragraph" w:styleId="ListParagraph">
    <w:name w:val="List Paragraph"/>
    <w:basedOn w:val="Normal"/>
    <w:uiPriority w:val="34"/>
    <w:qFormat/>
    <w:rsid w:val="00CD610F"/>
    <w:pPr>
      <w:ind w:left="720"/>
      <w:contextualSpacing/>
    </w:pPr>
  </w:style>
  <w:style w:type="character" w:styleId="IntenseEmphasis">
    <w:name w:val="Intense Emphasis"/>
    <w:basedOn w:val="DefaultParagraphFont"/>
    <w:uiPriority w:val="21"/>
    <w:qFormat/>
    <w:rsid w:val="00CD610F"/>
    <w:rPr>
      <w:i/>
      <w:iCs/>
      <w:color w:val="2F5496" w:themeColor="accent1" w:themeShade="BF"/>
    </w:rPr>
  </w:style>
  <w:style w:type="paragraph" w:styleId="IntenseQuote">
    <w:name w:val="Intense Quote"/>
    <w:basedOn w:val="Normal"/>
    <w:next w:val="Normal"/>
    <w:link w:val="IntenseQuoteChar"/>
    <w:uiPriority w:val="30"/>
    <w:qFormat/>
    <w:rsid w:val="00CD6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10F"/>
    <w:rPr>
      <w:i/>
      <w:iCs/>
      <w:color w:val="2F5496" w:themeColor="accent1" w:themeShade="BF"/>
    </w:rPr>
  </w:style>
  <w:style w:type="character" w:styleId="IntenseReference">
    <w:name w:val="Intense Reference"/>
    <w:basedOn w:val="DefaultParagraphFont"/>
    <w:uiPriority w:val="32"/>
    <w:qFormat/>
    <w:rsid w:val="00CD6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062">
      <w:bodyDiv w:val="1"/>
      <w:marLeft w:val="0"/>
      <w:marRight w:val="0"/>
      <w:marTop w:val="0"/>
      <w:marBottom w:val="0"/>
      <w:divBdr>
        <w:top w:val="none" w:sz="0" w:space="0" w:color="auto"/>
        <w:left w:val="none" w:sz="0" w:space="0" w:color="auto"/>
        <w:bottom w:val="none" w:sz="0" w:space="0" w:color="auto"/>
        <w:right w:val="none" w:sz="0" w:space="0" w:color="auto"/>
      </w:divBdr>
    </w:div>
    <w:div w:id="71125345">
      <w:bodyDiv w:val="1"/>
      <w:marLeft w:val="0"/>
      <w:marRight w:val="0"/>
      <w:marTop w:val="0"/>
      <w:marBottom w:val="0"/>
      <w:divBdr>
        <w:top w:val="none" w:sz="0" w:space="0" w:color="auto"/>
        <w:left w:val="none" w:sz="0" w:space="0" w:color="auto"/>
        <w:bottom w:val="none" w:sz="0" w:space="0" w:color="auto"/>
        <w:right w:val="none" w:sz="0" w:space="0" w:color="auto"/>
      </w:divBdr>
    </w:div>
    <w:div w:id="105931064">
      <w:bodyDiv w:val="1"/>
      <w:marLeft w:val="0"/>
      <w:marRight w:val="0"/>
      <w:marTop w:val="0"/>
      <w:marBottom w:val="0"/>
      <w:divBdr>
        <w:top w:val="none" w:sz="0" w:space="0" w:color="auto"/>
        <w:left w:val="none" w:sz="0" w:space="0" w:color="auto"/>
        <w:bottom w:val="none" w:sz="0" w:space="0" w:color="auto"/>
        <w:right w:val="none" w:sz="0" w:space="0" w:color="auto"/>
      </w:divBdr>
    </w:div>
    <w:div w:id="123156504">
      <w:bodyDiv w:val="1"/>
      <w:marLeft w:val="0"/>
      <w:marRight w:val="0"/>
      <w:marTop w:val="0"/>
      <w:marBottom w:val="0"/>
      <w:divBdr>
        <w:top w:val="none" w:sz="0" w:space="0" w:color="auto"/>
        <w:left w:val="none" w:sz="0" w:space="0" w:color="auto"/>
        <w:bottom w:val="none" w:sz="0" w:space="0" w:color="auto"/>
        <w:right w:val="none" w:sz="0" w:space="0" w:color="auto"/>
      </w:divBdr>
    </w:div>
    <w:div w:id="312296239">
      <w:bodyDiv w:val="1"/>
      <w:marLeft w:val="0"/>
      <w:marRight w:val="0"/>
      <w:marTop w:val="0"/>
      <w:marBottom w:val="0"/>
      <w:divBdr>
        <w:top w:val="none" w:sz="0" w:space="0" w:color="auto"/>
        <w:left w:val="none" w:sz="0" w:space="0" w:color="auto"/>
        <w:bottom w:val="none" w:sz="0" w:space="0" w:color="auto"/>
        <w:right w:val="none" w:sz="0" w:space="0" w:color="auto"/>
      </w:divBdr>
    </w:div>
    <w:div w:id="543294109">
      <w:bodyDiv w:val="1"/>
      <w:marLeft w:val="0"/>
      <w:marRight w:val="0"/>
      <w:marTop w:val="0"/>
      <w:marBottom w:val="0"/>
      <w:divBdr>
        <w:top w:val="none" w:sz="0" w:space="0" w:color="auto"/>
        <w:left w:val="none" w:sz="0" w:space="0" w:color="auto"/>
        <w:bottom w:val="none" w:sz="0" w:space="0" w:color="auto"/>
        <w:right w:val="none" w:sz="0" w:space="0" w:color="auto"/>
      </w:divBdr>
    </w:div>
    <w:div w:id="835799504">
      <w:bodyDiv w:val="1"/>
      <w:marLeft w:val="0"/>
      <w:marRight w:val="0"/>
      <w:marTop w:val="0"/>
      <w:marBottom w:val="0"/>
      <w:divBdr>
        <w:top w:val="none" w:sz="0" w:space="0" w:color="auto"/>
        <w:left w:val="none" w:sz="0" w:space="0" w:color="auto"/>
        <w:bottom w:val="none" w:sz="0" w:space="0" w:color="auto"/>
        <w:right w:val="none" w:sz="0" w:space="0" w:color="auto"/>
      </w:divBdr>
    </w:div>
    <w:div w:id="1104379862">
      <w:bodyDiv w:val="1"/>
      <w:marLeft w:val="0"/>
      <w:marRight w:val="0"/>
      <w:marTop w:val="0"/>
      <w:marBottom w:val="0"/>
      <w:divBdr>
        <w:top w:val="none" w:sz="0" w:space="0" w:color="auto"/>
        <w:left w:val="none" w:sz="0" w:space="0" w:color="auto"/>
        <w:bottom w:val="none" w:sz="0" w:space="0" w:color="auto"/>
        <w:right w:val="none" w:sz="0" w:space="0" w:color="auto"/>
      </w:divBdr>
    </w:div>
    <w:div w:id="1118796898">
      <w:bodyDiv w:val="1"/>
      <w:marLeft w:val="0"/>
      <w:marRight w:val="0"/>
      <w:marTop w:val="0"/>
      <w:marBottom w:val="0"/>
      <w:divBdr>
        <w:top w:val="none" w:sz="0" w:space="0" w:color="auto"/>
        <w:left w:val="none" w:sz="0" w:space="0" w:color="auto"/>
        <w:bottom w:val="none" w:sz="0" w:space="0" w:color="auto"/>
        <w:right w:val="none" w:sz="0" w:space="0" w:color="auto"/>
      </w:divBdr>
    </w:div>
    <w:div w:id="1227496057">
      <w:bodyDiv w:val="1"/>
      <w:marLeft w:val="0"/>
      <w:marRight w:val="0"/>
      <w:marTop w:val="0"/>
      <w:marBottom w:val="0"/>
      <w:divBdr>
        <w:top w:val="none" w:sz="0" w:space="0" w:color="auto"/>
        <w:left w:val="none" w:sz="0" w:space="0" w:color="auto"/>
        <w:bottom w:val="none" w:sz="0" w:space="0" w:color="auto"/>
        <w:right w:val="none" w:sz="0" w:space="0" w:color="auto"/>
      </w:divBdr>
    </w:div>
    <w:div w:id="1288124184">
      <w:bodyDiv w:val="1"/>
      <w:marLeft w:val="0"/>
      <w:marRight w:val="0"/>
      <w:marTop w:val="0"/>
      <w:marBottom w:val="0"/>
      <w:divBdr>
        <w:top w:val="none" w:sz="0" w:space="0" w:color="auto"/>
        <w:left w:val="none" w:sz="0" w:space="0" w:color="auto"/>
        <w:bottom w:val="none" w:sz="0" w:space="0" w:color="auto"/>
        <w:right w:val="none" w:sz="0" w:space="0" w:color="auto"/>
      </w:divBdr>
    </w:div>
    <w:div w:id="1552155453">
      <w:bodyDiv w:val="1"/>
      <w:marLeft w:val="0"/>
      <w:marRight w:val="0"/>
      <w:marTop w:val="0"/>
      <w:marBottom w:val="0"/>
      <w:divBdr>
        <w:top w:val="none" w:sz="0" w:space="0" w:color="auto"/>
        <w:left w:val="none" w:sz="0" w:space="0" w:color="auto"/>
        <w:bottom w:val="none" w:sz="0" w:space="0" w:color="auto"/>
        <w:right w:val="none" w:sz="0" w:space="0" w:color="auto"/>
      </w:divBdr>
    </w:div>
    <w:div w:id="1578203222">
      <w:bodyDiv w:val="1"/>
      <w:marLeft w:val="0"/>
      <w:marRight w:val="0"/>
      <w:marTop w:val="0"/>
      <w:marBottom w:val="0"/>
      <w:divBdr>
        <w:top w:val="none" w:sz="0" w:space="0" w:color="auto"/>
        <w:left w:val="none" w:sz="0" w:space="0" w:color="auto"/>
        <w:bottom w:val="none" w:sz="0" w:space="0" w:color="auto"/>
        <w:right w:val="none" w:sz="0" w:space="0" w:color="auto"/>
      </w:divBdr>
    </w:div>
    <w:div w:id="1628244425">
      <w:bodyDiv w:val="1"/>
      <w:marLeft w:val="0"/>
      <w:marRight w:val="0"/>
      <w:marTop w:val="0"/>
      <w:marBottom w:val="0"/>
      <w:divBdr>
        <w:top w:val="none" w:sz="0" w:space="0" w:color="auto"/>
        <w:left w:val="none" w:sz="0" w:space="0" w:color="auto"/>
        <w:bottom w:val="none" w:sz="0" w:space="0" w:color="auto"/>
        <w:right w:val="none" w:sz="0" w:space="0" w:color="auto"/>
      </w:divBdr>
    </w:div>
    <w:div w:id="1657807177">
      <w:bodyDiv w:val="1"/>
      <w:marLeft w:val="0"/>
      <w:marRight w:val="0"/>
      <w:marTop w:val="0"/>
      <w:marBottom w:val="0"/>
      <w:divBdr>
        <w:top w:val="none" w:sz="0" w:space="0" w:color="auto"/>
        <w:left w:val="none" w:sz="0" w:space="0" w:color="auto"/>
        <w:bottom w:val="none" w:sz="0" w:space="0" w:color="auto"/>
        <w:right w:val="none" w:sz="0" w:space="0" w:color="auto"/>
      </w:divBdr>
    </w:div>
    <w:div w:id="20589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2025-05-23T22:45:00Z</dcterms:created>
  <dcterms:modified xsi:type="dcterms:W3CDTF">2025-06-28T00:38:00Z</dcterms:modified>
</cp:coreProperties>
</file>