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866F5" w14:textId="77777777" w:rsidR="00C75947" w:rsidRPr="00C75947" w:rsidRDefault="00C75947" w:rsidP="00C75947">
      <w:pPr>
        <w:jc w:val="center"/>
        <w:rPr>
          <w:rFonts w:asciiTheme="majorBidi" w:hAnsiTheme="majorBidi" w:cstheme="majorBidi"/>
          <w:b/>
          <w:bCs/>
          <w:sz w:val="48"/>
          <w:szCs w:val="48"/>
        </w:rPr>
      </w:pPr>
      <w:r w:rsidRPr="00C75947">
        <w:rPr>
          <w:rFonts w:asciiTheme="majorBidi" w:hAnsiTheme="majorBidi" w:cstheme="majorBidi"/>
          <w:b/>
          <w:bCs/>
          <w:sz w:val="48"/>
          <w:szCs w:val="48"/>
        </w:rPr>
        <w:t>Chapter 6</w:t>
      </w:r>
    </w:p>
    <w:p w14:paraId="25027E67" w14:textId="77777777" w:rsidR="00C75947" w:rsidRPr="00C75947" w:rsidRDefault="00C75947" w:rsidP="00C75947">
      <w:pPr>
        <w:jc w:val="center"/>
        <w:rPr>
          <w:rFonts w:asciiTheme="majorBidi" w:hAnsiTheme="majorBidi" w:cstheme="majorBidi"/>
          <w:b/>
          <w:bCs/>
          <w:sz w:val="48"/>
          <w:szCs w:val="48"/>
        </w:rPr>
      </w:pPr>
      <w:r w:rsidRPr="00C75947">
        <w:rPr>
          <w:rFonts w:asciiTheme="majorBidi" w:hAnsiTheme="majorBidi" w:cstheme="majorBidi"/>
          <w:b/>
          <w:bCs/>
          <w:sz w:val="48"/>
          <w:szCs w:val="48"/>
        </w:rPr>
        <w:t>Closing and the Psychology Behind It</w:t>
      </w:r>
    </w:p>
    <w:p w14:paraId="0A37A1D0" w14:textId="77777777" w:rsidR="00C75947" w:rsidRPr="00C75947" w:rsidRDefault="00C75947" w:rsidP="00C75947">
      <w:pPr>
        <w:ind w:left="0" w:firstLine="0"/>
        <w:rPr>
          <w:rFonts w:asciiTheme="majorBidi" w:hAnsiTheme="majorBidi" w:cstheme="majorBidi"/>
          <w:b/>
          <w:bCs/>
          <w:sz w:val="40"/>
          <w:szCs w:val="40"/>
        </w:rPr>
      </w:pPr>
      <w:r w:rsidRPr="00C75947">
        <w:rPr>
          <w:rFonts w:asciiTheme="majorBidi" w:hAnsiTheme="majorBidi" w:cstheme="majorBidi"/>
          <w:b/>
          <w:bCs/>
          <w:sz w:val="40"/>
          <w:szCs w:val="40"/>
        </w:rPr>
        <w:t>Why Closing Is About Confidence, Not Pressure</w:t>
      </w:r>
    </w:p>
    <w:p w14:paraId="13476E06"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A good close doesn’t feel like a push. It feels like the next logical step.</w:t>
      </w:r>
    </w:p>
    <w:p w14:paraId="36549E44"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When a sale goes wrong at this stage, it’s usually not because the customer wasn’t interested. It’s because they felt rushed, cornered, or talked into something they weren’t fully comfortable with.</w:t>
      </w:r>
    </w:p>
    <w:p w14:paraId="6748787C"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The best closers understand something important. They’re not the ones making the decision. The customer is. And when someone is about to spend serious money, they need to feel settled, not pressured.</w:t>
      </w:r>
    </w:p>
    <w:p w14:paraId="62430875"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I’ve always believed that if a customer has doubts at the close, you haven’t failed to sell. You’ve failed to listen. And if you force the issue anyway, that sale has a good chance of turning into a return or a problem later on.</w:t>
      </w:r>
    </w:p>
    <w:p w14:paraId="40A8616C"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Returns cost money. They also cost relationships.</w:t>
      </w:r>
    </w:p>
    <w:p w14:paraId="16AE3BD0"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Closing done right protects both.</w:t>
      </w:r>
    </w:p>
    <w:p w14:paraId="35394A4B" w14:textId="77777777" w:rsidR="00C75947" w:rsidRPr="00C75947" w:rsidRDefault="00000000" w:rsidP="00C75947">
      <w:pPr>
        <w:ind w:left="0" w:firstLine="0"/>
        <w:rPr>
          <w:rFonts w:asciiTheme="majorBidi" w:hAnsiTheme="majorBidi" w:cstheme="majorBidi"/>
          <w:sz w:val="40"/>
          <w:szCs w:val="40"/>
        </w:rPr>
      </w:pPr>
      <w:r>
        <w:rPr>
          <w:rFonts w:asciiTheme="majorBidi" w:hAnsiTheme="majorBidi" w:cstheme="majorBidi"/>
          <w:sz w:val="40"/>
          <w:szCs w:val="40"/>
        </w:rPr>
        <w:pict w14:anchorId="2EA42148">
          <v:rect id="_x0000_i1025" style="width:0;height:1.5pt" o:hralign="center" o:hrstd="t" o:hr="t" fillcolor="#a0a0a0" stroked="f"/>
        </w:pict>
      </w:r>
    </w:p>
    <w:p w14:paraId="71E3EDC5" w14:textId="77777777" w:rsidR="00C75947" w:rsidRPr="00C75947" w:rsidRDefault="00C75947" w:rsidP="00C75947">
      <w:pPr>
        <w:ind w:left="0" w:firstLine="0"/>
        <w:rPr>
          <w:rFonts w:asciiTheme="majorBidi" w:hAnsiTheme="majorBidi" w:cstheme="majorBidi"/>
          <w:b/>
          <w:bCs/>
          <w:sz w:val="40"/>
          <w:szCs w:val="40"/>
        </w:rPr>
      </w:pPr>
      <w:r w:rsidRPr="00C75947">
        <w:rPr>
          <w:rFonts w:asciiTheme="majorBidi" w:hAnsiTheme="majorBidi" w:cstheme="majorBidi"/>
          <w:b/>
          <w:bCs/>
          <w:sz w:val="40"/>
          <w:szCs w:val="40"/>
        </w:rPr>
        <w:t>Checking Readiness Without Forcing a Decision</w:t>
      </w:r>
    </w:p>
    <w:p w14:paraId="50258631"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You don’t need to ask for the order to find out where the customer stands.</w:t>
      </w:r>
    </w:p>
    <w:p w14:paraId="4A99E7BB"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Throughout the conversation, there are natural moments where you can check alignment without applying pressure. Simple questions work best.</w:t>
      </w:r>
    </w:p>
    <w:p w14:paraId="0D5BDA49"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“How does this sound so far?”</w:t>
      </w:r>
      <w:r w:rsidRPr="00C75947">
        <w:rPr>
          <w:rFonts w:asciiTheme="majorBidi" w:hAnsiTheme="majorBidi" w:cstheme="majorBidi"/>
          <w:sz w:val="40"/>
          <w:szCs w:val="40"/>
        </w:rPr>
        <w:br/>
        <w:t>“Does this feel like what you were hoping to accomplish?”</w:t>
      </w:r>
      <w:r w:rsidRPr="00C75947">
        <w:rPr>
          <w:rFonts w:asciiTheme="majorBidi" w:hAnsiTheme="majorBidi" w:cstheme="majorBidi"/>
          <w:sz w:val="40"/>
          <w:szCs w:val="40"/>
        </w:rPr>
        <w:br/>
        <w:t>“Is there anything you want to revisit before we talk about next steps?”</w:t>
      </w:r>
    </w:p>
    <w:p w14:paraId="17D1E4D5"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These aren’t closing questions. They’re listening questions.</w:t>
      </w:r>
    </w:p>
    <w:p w14:paraId="6A448FB3"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Used early and often, they keep you in sync with the customer’s comfort level. They also surface concerns before those concerns harden into objections.</w:t>
      </w:r>
    </w:p>
    <w:p w14:paraId="6349BB70"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When customers feel heard, they relax. Relaxed customers decide more easily.</w:t>
      </w:r>
    </w:p>
    <w:p w14:paraId="1EA8A9BB" w14:textId="77777777" w:rsidR="00C75947" w:rsidRPr="00C75947" w:rsidRDefault="00000000" w:rsidP="00C75947">
      <w:pPr>
        <w:ind w:left="0" w:firstLine="0"/>
        <w:rPr>
          <w:rFonts w:asciiTheme="majorBidi" w:hAnsiTheme="majorBidi" w:cstheme="majorBidi"/>
          <w:sz w:val="40"/>
          <w:szCs w:val="40"/>
        </w:rPr>
      </w:pPr>
      <w:r>
        <w:rPr>
          <w:rFonts w:asciiTheme="majorBidi" w:hAnsiTheme="majorBidi" w:cstheme="majorBidi"/>
          <w:sz w:val="40"/>
          <w:szCs w:val="40"/>
        </w:rPr>
        <w:pict w14:anchorId="699D9C0C">
          <v:rect id="_x0000_i1026" style="width:0;height:1.5pt" o:hralign="center" o:hrstd="t" o:hr="t" fillcolor="#a0a0a0" stroked="f"/>
        </w:pict>
      </w:r>
    </w:p>
    <w:p w14:paraId="47842FF1" w14:textId="77777777" w:rsidR="00C75947" w:rsidRPr="00C75947" w:rsidRDefault="00C75947" w:rsidP="00C75947">
      <w:pPr>
        <w:ind w:left="0" w:firstLine="0"/>
        <w:rPr>
          <w:rFonts w:asciiTheme="majorBidi" w:hAnsiTheme="majorBidi" w:cstheme="majorBidi"/>
          <w:b/>
          <w:bCs/>
          <w:sz w:val="40"/>
          <w:szCs w:val="40"/>
        </w:rPr>
      </w:pPr>
      <w:r w:rsidRPr="00C75947">
        <w:rPr>
          <w:rFonts w:asciiTheme="majorBidi" w:hAnsiTheme="majorBidi" w:cstheme="majorBidi"/>
          <w:b/>
          <w:bCs/>
          <w:sz w:val="40"/>
          <w:szCs w:val="40"/>
        </w:rPr>
        <w:t>Moving Forward When the Time Is Right</w:t>
      </w:r>
    </w:p>
    <w:p w14:paraId="3530158E"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When a customer starts leaning in, your language can lean forward too.</w:t>
      </w:r>
    </w:p>
    <w:p w14:paraId="10B7BCBC"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This doesn’t mean assuming the sale. It means talking about next steps as possibilities instead of hurdles.</w:t>
      </w:r>
    </w:p>
    <w:p w14:paraId="73D02B18"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Questions about timing, scheduling, and logistics often feel more natural than “Are you ready to buy?”</w:t>
      </w:r>
    </w:p>
    <w:p w14:paraId="14123DC5"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“Would weekday or weekend installation work better for you?”</w:t>
      </w:r>
      <w:r w:rsidRPr="00C75947">
        <w:rPr>
          <w:rFonts w:asciiTheme="majorBidi" w:hAnsiTheme="majorBidi" w:cstheme="majorBidi"/>
          <w:sz w:val="40"/>
          <w:szCs w:val="40"/>
        </w:rPr>
        <w:br/>
        <w:t>“Should we schedule the walkthrough after the install, or the following day?”</w:t>
      </w:r>
      <w:r w:rsidRPr="00C75947">
        <w:rPr>
          <w:rFonts w:asciiTheme="majorBidi" w:hAnsiTheme="majorBidi" w:cstheme="majorBidi"/>
          <w:sz w:val="40"/>
          <w:szCs w:val="40"/>
        </w:rPr>
        <w:br/>
        <w:t>“Do you have a target date you’re working toward?”</w:t>
      </w:r>
    </w:p>
    <w:p w14:paraId="1AD86065"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If the groundwork has been done properly, these questions don’t feel pushy. They feel practical.</w:t>
      </w:r>
    </w:p>
    <w:p w14:paraId="79F6D483"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Timing matters. So does tone. If you rush this stage, customers feel it immediately.</w:t>
      </w:r>
    </w:p>
    <w:p w14:paraId="0D438CEB" w14:textId="77777777" w:rsidR="00C75947" w:rsidRPr="00C75947" w:rsidRDefault="00000000" w:rsidP="00C75947">
      <w:pPr>
        <w:ind w:left="0" w:firstLine="0"/>
        <w:rPr>
          <w:rFonts w:asciiTheme="majorBidi" w:hAnsiTheme="majorBidi" w:cstheme="majorBidi"/>
          <w:sz w:val="40"/>
          <w:szCs w:val="40"/>
        </w:rPr>
      </w:pPr>
      <w:r>
        <w:rPr>
          <w:rFonts w:asciiTheme="majorBidi" w:hAnsiTheme="majorBidi" w:cstheme="majorBidi"/>
          <w:sz w:val="40"/>
          <w:szCs w:val="40"/>
        </w:rPr>
        <w:pict w14:anchorId="5E7870D8">
          <v:rect id="_x0000_i1027" style="width:0;height:1.5pt" o:hralign="center" o:hrstd="t" o:hr="t" fillcolor="#a0a0a0" stroked="f"/>
        </w:pict>
      </w:r>
    </w:p>
    <w:p w14:paraId="7381D96D" w14:textId="77777777" w:rsidR="00C75947" w:rsidRPr="00C75947" w:rsidRDefault="00C75947" w:rsidP="00C75947">
      <w:pPr>
        <w:ind w:left="0" w:firstLine="0"/>
        <w:rPr>
          <w:rFonts w:asciiTheme="majorBidi" w:hAnsiTheme="majorBidi" w:cstheme="majorBidi"/>
          <w:b/>
          <w:bCs/>
          <w:sz w:val="40"/>
          <w:szCs w:val="40"/>
        </w:rPr>
      </w:pPr>
      <w:r w:rsidRPr="00C75947">
        <w:rPr>
          <w:rFonts w:asciiTheme="majorBidi" w:hAnsiTheme="majorBidi" w:cstheme="majorBidi"/>
          <w:b/>
          <w:bCs/>
          <w:sz w:val="40"/>
          <w:szCs w:val="40"/>
        </w:rPr>
        <w:t>Closing When You’re Not in the Room</w:t>
      </w:r>
    </w:p>
    <w:p w14:paraId="577F246E"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More and more deals close remotely. That doesn’t change the psychology. It just changes the mechanics.</w:t>
      </w:r>
    </w:p>
    <w:p w14:paraId="43A5774A"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When you’re not sitting across from someone, clarity matters even more.</w:t>
      </w:r>
    </w:p>
    <w:p w14:paraId="3DDE17DE"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After a demo or discussion, summarize what you heard. Not what you pitched. What mattered to them. Why the solution fits. What happens next.</w:t>
      </w:r>
    </w:p>
    <w:p w14:paraId="0C466C27"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Short follow-ups work better than long ones. Clear beats clever every time.</w:t>
      </w:r>
    </w:p>
    <w:p w14:paraId="04AFD91B"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A brief personal video recap can help too. It keeps the human connection alive and reminds them they’re dealing with a real person, not a process.</w:t>
      </w:r>
    </w:p>
    <w:p w14:paraId="6928987A"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Most important, make the next step obvious. Scheduling. Signing. Confirming. Don’t make them guess.</w:t>
      </w:r>
    </w:p>
    <w:p w14:paraId="556E7EF3" w14:textId="77777777" w:rsidR="00C75947" w:rsidRPr="00C75947" w:rsidRDefault="00000000" w:rsidP="00C75947">
      <w:pPr>
        <w:ind w:left="0" w:firstLine="0"/>
        <w:rPr>
          <w:rFonts w:asciiTheme="majorBidi" w:hAnsiTheme="majorBidi" w:cstheme="majorBidi"/>
          <w:sz w:val="40"/>
          <w:szCs w:val="40"/>
        </w:rPr>
      </w:pPr>
      <w:r>
        <w:rPr>
          <w:rFonts w:asciiTheme="majorBidi" w:hAnsiTheme="majorBidi" w:cstheme="majorBidi"/>
          <w:sz w:val="40"/>
          <w:szCs w:val="40"/>
        </w:rPr>
        <w:pict w14:anchorId="4D8DEB4E">
          <v:rect id="_x0000_i1028" style="width:0;height:1.5pt" o:hralign="center" o:hrstd="t" o:hr="t" fillcolor="#a0a0a0" stroked="f"/>
        </w:pict>
      </w:r>
    </w:p>
    <w:p w14:paraId="0B090912" w14:textId="77777777" w:rsidR="00C75947" w:rsidRPr="00C75947" w:rsidRDefault="00C75947" w:rsidP="00C75947">
      <w:pPr>
        <w:ind w:left="0" w:firstLine="0"/>
        <w:rPr>
          <w:rFonts w:asciiTheme="majorBidi" w:hAnsiTheme="majorBidi" w:cstheme="majorBidi"/>
          <w:b/>
          <w:bCs/>
          <w:sz w:val="40"/>
          <w:szCs w:val="40"/>
        </w:rPr>
      </w:pPr>
      <w:r w:rsidRPr="00C75947">
        <w:rPr>
          <w:rFonts w:asciiTheme="majorBidi" w:hAnsiTheme="majorBidi" w:cstheme="majorBidi"/>
          <w:b/>
          <w:bCs/>
          <w:sz w:val="40"/>
          <w:szCs w:val="40"/>
        </w:rPr>
        <w:t>Keeping Your Ethics Intact</w:t>
      </w:r>
    </w:p>
    <w:p w14:paraId="74ADB461"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Closing is where shortcuts show up. It’s also where trust is either reinforced or damaged.</w:t>
      </w:r>
    </w:p>
    <w:p w14:paraId="46EDD9F6"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Fake urgency is one of the fastest ways to lose credibility. If there’s a real deadline, explain it. If there isn’t, don’t invent one.</w:t>
      </w:r>
    </w:p>
    <w:p w14:paraId="2DCF7B6C"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Overselling creates bigger problems later. If something won’t quite do what the customer hopes, say so. Offer an alternative. That honesty often strengthens the sale instead of killing it.</w:t>
      </w:r>
    </w:p>
    <w:p w14:paraId="0BBEBBE6"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Respect timing. Many decisions involve more than one person, especially in high-ticket A/V projects. Giving space when it’s needed doesn’t slow things down. It builds confidence.</w:t>
      </w:r>
    </w:p>
    <w:p w14:paraId="2F3B1BFB"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A question I’ve asked myself for decades still holds up:</w:t>
      </w:r>
    </w:p>
    <w:p w14:paraId="09AD3338"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Would I feel good about this deal if I were on the other side of the table?</w:t>
      </w:r>
    </w:p>
    <w:p w14:paraId="5492A650"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If the answer isn’t yes, pause.</w:t>
      </w:r>
    </w:p>
    <w:p w14:paraId="19032308" w14:textId="77777777" w:rsidR="00C75947" w:rsidRPr="00C75947" w:rsidRDefault="00000000" w:rsidP="00C75947">
      <w:pPr>
        <w:ind w:left="0" w:firstLine="0"/>
        <w:rPr>
          <w:rFonts w:asciiTheme="majorBidi" w:hAnsiTheme="majorBidi" w:cstheme="majorBidi"/>
          <w:sz w:val="40"/>
          <w:szCs w:val="40"/>
        </w:rPr>
      </w:pPr>
      <w:r>
        <w:rPr>
          <w:rFonts w:asciiTheme="majorBidi" w:hAnsiTheme="majorBidi" w:cstheme="majorBidi"/>
          <w:sz w:val="40"/>
          <w:szCs w:val="40"/>
        </w:rPr>
        <w:pict w14:anchorId="5888EB32">
          <v:rect id="_x0000_i1029" style="width:0;height:1.5pt" o:hralign="center" o:hrstd="t" o:hr="t" fillcolor="#a0a0a0" stroked="f"/>
        </w:pict>
      </w:r>
    </w:p>
    <w:p w14:paraId="2863A6D3" w14:textId="77777777" w:rsidR="00C75947" w:rsidRPr="00C75947" w:rsidRDefault="00C75947" w:rsidP="00C75947">
      <w:pPr>
        <w:ind w:left="0" w:firstLine="0"/>
        <w:rPr>
          <w:rFonts w:asciiTheme="majorBidi" w:hAnsiTheme="majorBidi" w:cstheme="majorBidi"/>
          <w:b/>
          <w:bCs/>
          <w:sz w:val="40"/>
          <w:szCs w:val="40"/>
        </w:rPr>
      </w:pPr>
      <w:r w:rsidRPr="00C75947">
        <w:rPr>
          <w:rFonts w:asciiTheme="majorBidi" w:hAnsiTheme="majorBidi" w:cstheme="majorBidi"/>
          <w:b/>
          <w:bCs/>
          <w:sz w:val="40"/>
          <w:szCs w:val="40"/>
        </w:rPr>
        <w:t>Practicing the Close and Following Through</w:t>
      </w:r>
    </w:p>
    <w:p w14:paraId="1203B9FB"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Closing gets easier when it’s familiar.</w:t>
      </w:r>
    </w:p>
    <w:p w14:paraId="3402970B"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Run through scenarios with your team. Practice calm responses. Practice saying no without sounding defensive. Practice silence.</w:t>
      </w:r>
    </w:p>
    <w:p w14:paraId="62695810"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Just as important is what happens after the decision.</w:t>
      </w:r>
    </w:p>
    <w:p w14:paraId="7E643A32"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Thank the customer personally. Confirm what’s next. Set expectations clearly. Let them know you’re still engaged now that the paperwork is done.</w:t>
      </w:r>
    </w:p>
    <w:p w14:paraId="66198EF1"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That follow-through is part of the close. It reassures them they made the right choice.</w:t>
      </w:r>
    </w:p>
    <w:p w14:paraId="7D8D9A46" w14:textId="77777777" w:rsidR="00C75947" w:rsidRPr="00C75947" w:rsidRDefault="00000000" w:rsidP="00C75947">
      <w:pPr>
        <w:ind w:left="0" w:firstLine="0"/>
        <w:rPr>
          <w:rFonts w:asciiTheme="majorBidi" w:hAnsiTheme="majorBidi" w:cstheme="majorBidi"/>
          <w:sz w:val="40"/>
          <w:szCs w:val="40"/>
        </w:rPr>
      </w:pPr>
      <w:r>
        <w:rPr>
          <w:rFonts w:asciiTheme="majorBidi" w:hAnsiTheme="majorBidi" w:cstheme="majorBidi"/>
          <w:sz w:val="40"/>
          <w:szCs w:val="40"/>
        </w:rPr>
        <w:pict w14:anchorId="17B3D188">
          <v:rect id="_x0000_i1030" style="width:0;height:1.5pt" o:hralign="center" o:hrstd="t" o:hr="t" fillcolor="#a0a0a0" stroked="f"/>
        </w:pict>
      </w:r>
    </w:p>
    <w:p w14:paraId="3C6470C2" w14:textId="77777777" w:rsidR="00C75947" w:rsidRPr="00C75947" w:rsidRDefault="00C75947" w:rsidP="00C75947">
      <w:pPr>
        <w:ind w:left="0" w:firstLine="0"/>
        <w:rPr>
          <w:rFonts w:asciiTheme="majorBidi" w:hAnsiTheme="majorBidi" w:cstheme="majorBidi"/>
          <w:b/>
          <w:bCs/>
          <w:sz w:val="40"/>
          <w:szCs w:val="40"/>
        </w:rPr>
      </w:pPr>
      <w:r w:rsidRPr="00C75947">
        <w:rPr>
          <w:rFonts w:asciiTheme="majorBidi" w:hAnsiTheme="majorBidi" w:cstheme="majorBidi"/>
          <w:b/>
          <w:bCs/>
          <w:sz w:val="40"/>
          <w:szCs w:val="40"/>
        </w:rPr>
        <w:t>Bringing It All Together</w:t>
      </w:r>
    </w:p>
    <w:p w14:paraId="744689BB"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Closing isn’t a moment you force. It’s a moment you recognize.</w:t>
      </w:r>
    </w:p>
    <w:p w14:paraId="511EC12B"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When the conversation has been honest, the solution fits, and trust is in place, the decision feels natural.</w:t>
      </w:r>
    </w:p>
    <w:p w14:paraId="23E580BD"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Your role is to guide that transition with confidence and restraint.</w:t>
      </w:r>
    </w:p>
    <w:p w14:paraId="36889EA3" w14:textId="77777777" w:rsidR="00C75947" w:rsidRPr="00C75947" w:rsidRDefault="00000000" w:rsidP="00C75947">
      <w:pPr>
        <w:ind w:left="0" w:firstLine="0"/>
        <w:rPr>
          <w:rFonts w:asciiTheme="majorBidi" w:hAnsiTheme="majorBidi" w:cstheme="majorBidi"/>
          <w:sz w:val="40"/>
          <w:szCs w:val="40"/>
        </w:rPr>
      </w:pPr>
      <w:r>
        <w:rPr>
          <w:rFonts w:asciiTheme="majorBidi" w:hAnsiTheme="majorBidi" w:cstheme="majorBidi"/>
          <w:sz w:val="40"/>
          <w:szCs w:val="40"/>
        </w:rPr>
        <w:pict w14:anchorId="687A0540">
          <v:rect id="_x0000_i1031" style="width:0;height:1.5pt" o:hralign="center" o:hrstd="t" o:hr="t" fillcolor="#a0a0a0" stroked="f"/>
        </w:pict>
      </w:r>
    </w:p>
    <w:p w14:paraId="323AB419" w14:textId="77777777" w:rsidR="00C75947" w:rsidRPr="00C75947" w:rsidRDefault="00C75947" w:rsidP="00C75947">
      <w:pPr>
        <w:ind w:left="0" w:firstLine="0"/>
        <w:rPr>
          <w:rFonts w:asciiTheme="majorBidi" w:hAnsiTheme="majorBidi" w:cstheme="majorBidi"/>
          <w:b/>
          <w:bCs/>
          <w:sz w:val="40"/>
          <w:szCs w:val="40"/>
        </w:rPr>
      </w:pPr>
      <w:r w:rsidRPr="00C75947">
        <w:rPr>
          <w:rFonts w:asciiTheme="majorBidi" w:hAnsiTheme="majorBidi" w:cstheme="majorBidi"/>
          <w:b/>
          <w:bCs/>
          <w:sz w:val="40"/>
          <w:szCs w:val="40"/>
        </w:rPr>
        <w:t>Final Thought</w:t>
      </w:r>
    </w:p>
    <w:p w14:paraId="111BF79B"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Closing isn’t the end of the relationship. It’s where trust turns into action.</w:t>
      </w:r>
    </w:p>
    <w:p w14:paraId="78F6A496"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Some of my customers stayed with me for decades. Not because I closed them hard, but because I treated the decision with respect and stayed present long after the sale.</w:t>
      </w:r>
    </w:p>
    <w:p w14:paraId="2914FFEF"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That’s the kind of closing that lasts, and it’s the only kind worth mastering.</w:t>
      </w:r>
    </w:p>
    <w:p w14:paraId="527745AA" w14:textId="2DD06449" w:rsidR="00FB5B6C" w:rsidRPr="00C75947" w:rsidRDefault="00FB5B6C" w:rsidP="00C75947">
      <w:pPr>
        <w:ind w:left="0" w:firstLine="0"/>
      </w:pPr>
    </w:p>
    <w:sectPr w:rsidR="00FB5B6C" w:rsidRPr="00C759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A02"/>
    <w:multiLevelType w:val="multilevel"/>
    <w:tmpl w:val="D566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159E4"/>
    <w:multiLevelType w:val="multilevel"/>
    <w:tmpl w:val="7E42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276ED"/>
    <w:multiLevelType w:val="multilevel"/>
    <w:tmpl w:val="425E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32662"/>
    <w:multiLevelType w:val="multilevel"/>
    <w:tmpl w:val="569E4E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DA3CCD"/>
    <w:multiLevelType w:val="multilevel"/>
    <w:tmpl w:val="93BE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F31CF7"/>
    <w:multiLevelType w:val="multilevel"/>
    <w:tmpl w:val="E58A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5B3748"/>
    <w:multiLevelType w:val="multilevel"/>
    <w:tmpl w:val="F1DA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B233DA"/>
    <w:multiLevelType w:val="multilevel"/>
    <w:tmpl w:val="D79E4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CF6056"/>
    <w:multiLevelType w:val="multilevel"/>
    <w:tmpl w:val="3D3C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9E0108"/>
    <w:multiLevelType w:val="multilevel"/>
    <w:tmpl w:val="7BC0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E5740B"/>
    <w:multiLevelType w:val="multilevel"/>
    <w:tmpl w:val="598A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070EF3"/>
    <w:multiLevelType w:val="multilevel"/>
    <w:tmpl w:val="74EE3A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8E7BA6"/>
    <w:multiLevelType w:val="multilevel"/>
    <w:tmpl w:val="B3D80E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6135B3"/>
    <w:multiLevelType w:val="multilevel"/>
    <w:tmpl w:val="9CFE52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2B4C7C"/>
    <w:multiLevelType w:val="multilevel"/>
    <w:tmpl w:val="DA2E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7875101">
    <w:abstractNumId w:val="8"/>
  </w:num>
  <w:num w:numId="2" w16cid:durableId="119342582">
    <w:abstractNumId w:val="14"/>
  </w:num>
  <w:num w:numId="3" w16cid:durableId="1348873318">
    <w:abstractNumId w:val="10"/>
  </w:num>
  <w:num w:numId="4" w16cid:durableId="664742916">
    <w:abstractNumId w:val="0"/>
  </w:num>
  <w:num w:numId="5" w16cid:durableId="120419669">
    <w:abstractNumId w:val="9"/>
  </w:num>
  <w:num w:numId="6" w16cid:durableId="468937101">
    <w:abstractNumId w:val="2"/>
  </w:num>
  <w:num w:numId="7" w16cid:durableId="1261715361">
    <w:abstractNumId w:val="1"/>
  </w:num>
  <w:num w:numId="8" w16cid:durableId="21978186">
    <w:abstractNumId w:val="6"/>
  </w:num>
  <w:num w:numId="9" w16cid:durableId="1784495694">
    <w:abstractNumId w:val="5"/>
  </w:num>
  <w:num w:numId="10" w16cid:durableId="1591962840">
    <w:abstractNumId w:val="4"/>
  </w:num>
  <w:num w:numId="11" w16cid:durableId="550844229">
    <w:abstractNumId w:val="7"/>
  </w:num>
  <w:num w:numId="12" w16cid:durableId="1353652231">
    <w:abstractNumId w:val="3"/>
  </w:num>
  <w:num w:numId="13" w16cid:durableId="586619687">
    <w:abstractNumId w:val="13"/>
  </w:num>
  <w:num w:numId="14" w16cid:durableId="2071345408">
    <w:abstractNumId w:val="11"/>
  </w:num>
  <w:num w:numId="15" w16cid:durableId="20178026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81"/>
    <w:rsid w:val="000F1314"/>
    <w:rsid w:val="00143158"/>
    <w:rsid w:val="0015215B"/>
    <w:rsid w:val="001F7339"/>
    <w:rsid w:val="00287639"/>
    <w:rsid w:val="002A6374"/>
    <w:rsid w:val="00415881"/>
    <w:rsid w:val="00471E3A"/>
    <w:rsid w:val="004A5AB8"/>
    <w:rsid w:val="004C1B16"/>
    <w:rsid w:val="006E7A1F"/>
    <w:rsid w:val="006F5931"/>
    <w:rsid w:val="008D3D73"/>
    <w:rsid w:val="009A70D1"/>
    <w:rsid w:val="00A960E3"/>
    <w:rsid w:val="00C75947"/>
    <w:rsid w:val="00DC3F0A"/>
    <w:rsid w:val="00EE2931"/>
    <w:rsid w:val="00F6333E"/>
    <w:rsid w:val="00FB5B6C"/>
    <w:rsid w:val="00FF25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E9E84"/>
  <w15:chartTrackingRefBased/>
  <w15:docId w15:val="{DB3E18F8-52B4-41F8-9E88-59DD5D080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8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58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58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58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58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58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8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8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8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8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58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58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58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58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58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8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8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881"/>
    <w:rPr>
      <w:rFonts w:eastAsiaTheme="majorEastAsia" w:cstheme="majorBidi"/>
      <w:color w:val="272727" w:themeColor="text1" w:themeTint="D8"/>
    </w:rPr>
  </w:style>
  <w:style w:type="paragraph" w:styleId="Title">
    <w:name w:val="Title"/>
    <w:basedOn w:val="Normal"/>
    <w:next w:val="Normal"/>
    <w:link w:val="TitleChar"/>
    <w:uiPriority w:val="10"/>
    <w:qFormat/>
    <w:rsid w:val="004158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8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881"/>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8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881"/>
    <w:pPr>
      <w:spacing w:before="160"/>
      <w:jc w:val="center"/>
    </w:pPr>
    <w:rPr>
      <w:i/>
      <w:iCs/>
      <w:color w:val="404040" w:themeColor="text1" w:themeTint="BF"/>
    </w:rPr>
  </w:style>
  <w:style w:type="character" w:customStyle="1" w:styleId="QuoteChar">
    <w:name w:val="Quote Char"/>
    <w:basedOn w:val="DefaultParagraphFont"/>
    <w:link w:val="Quote"/>
    <w:uiPriority w:val="29"/>
    <w:rsid w:val="00415881"/>
    <w:rPr>
      <w:i/>
      <w:iCs/>
      <w:color w:val="404040" w:themeColor="text1" w:themeTint="BF"/>
    </w:rPr>
  </w:style>
  <w:style w:type="paragraph" w:styleId="ListParagraph">
    <w:name w:val="List Paragraph"/>
    <w:basedOn w:val="Normal"/>
    <w:uiPriority w:val="34"/>
    <w:qFormat/>
    <w:rsid w:val="00415881"/>
    <w:pPr>
      <w:ind w:left="720"/>
      <w:contextualSpacing/>
    </w:pPr>
  </w:style>
  <w:style w:type="character" w:styleId="IntenseEmphasis">
    <w:name w:val="Intense Emphasis"/>
    <w:basedOn w:val="DefaultParagraphFont"/>
    <w:uiPriority w:val="21"/>
    <w:qFormat/>
    <w:rsid w:val="00415881"/>
    <w:rPr>
      <w:i/>
      <w:iCs/>
      <w:color w:val="2F5496" w:themeColor="accent1" w:themeShade="BF"/>
    </w:rPr>
  </w:style>
  <w:style w:type="paragraph" w:styleId="IntenseQuote">
    <w:name w:val="Intense Quote"/>
    <w:basedOn w:val="Normal"/>
    <w:next w:val="Normal"/>
    <w:link w:val="IntenseQuoteChar"/>
    <w:uiPriority w:val="30"/>
    <w:qFormat/>
    <w:rsid w:val="004158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5881"/>
    <w:rPr>
      <w:i/>
      <w:iCs/>
      <w:color w:val="2F5496" w:themeColor="accent1" w:themeShade="BF"/>
    </w:rPr>
  </w:style>
  <w:style w:type="character" w:styleId="IntenseReference">
    <w:name w:val="Intense Reference"/>
    <w:basedOn w:val="DefaultParagraphFont"/>
    <w:uiPriority w:val="32"/>
    <w:qFormat/>
    <w:rsid w:val="004158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05288">
      <w:bodyDiv w:val="1"/>
      <w:marLeft w:val="0"/>
      <w:marRight w:val="0"/>
      <w:marTop w:val="0"/>
      <w:marBottom w:val="0"/>
      <w:divBdr>
        <w:top w:val="none" w:sz="0" w:space="0" w:color="auto"/>
        <w:left w:val="none" w:sz="0" w:space="0" w:color="auto"/>
        <w:bottom w:val="none" w:sz="0" w:space="0" w:color="auto"/>
        <w:right w:val="none" w:sz="0" w:space="0" w:color="auto"/>
      </w:divBdr>
    </w:div>
    <w:div w:id="1071654641">
      <w:bodyDiv w:val="1"/>
      <w:marLeft w:val="0"/>
      <w:marRight w:val="0"/>
      <w:marTop w:val="0"/>
      <w:marBottom w:val="0"/>
      <w:divBdr>
        <w:top w:val="none" w:sz="0" w:space="0" w:color="auto"/>
        <w:left w:val="none" w:sz="0" w:space="0" w:color="auto"/>
        <w:bottom w:val="none" w:sz="0" w:space="0" w:color="auto"/>
        <w:right w:val="none" w:sz="0" w:space="0" w:color="auto"/>
      </w:divBdr>
    </w:div>
    <w:div w:id="1296253799">
      <w:bodyDiv w:val="1"/>
      <w:marLeft w:val="0"/>
      <w:marRight w:val="0"/>
      <w:marTop w:val="0"/>
      <w:marBottom w:val="0"/>
      <w:divBdr>
        <w:top w:val="none" w:sz="0" w:space="0" w:color="auto"/>
        <w:left w:val="none" w:sz="0" w:space="0" w:color="auto"/>
        <w:bottom w:val="none" w:sz="0" w:space="0" w:color="auto"/>
        <w:right w:val="none" w:sz="0" w:space="0" w:color="auto"/>
      </w:divBdr>
      <w:divsChild>
        <w:div w:id="147746368">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518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60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3143845">
      <w:bodyDiv w:val="1"/>
      <w:marLeft w:val="0"/>
      <w:marRight w:val="0"/>
      <w:marTop w:val="0"/>
      <w:marBottom w:val="0"/>
      <w:divBdr>
        <w:top w:val="none" w:sz="0" w:space="0" w:color="auto"/>
        <w:left w:val="none" w:sz="0" w:space="0" w:color="auto"/>
        <w:bottom w:val="none" w:sz="0" w:space="0" w:color="auto"/>
        <w:right w:val="none" w:sz="0" w:space="0" w:color="auto"/>
      </w:divBdr>
      <w:divsChild>
        <w:div w:id="299577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600155">
      <w:bodyDiv w:val="1"/>
      <w:marLeft w:val="0"/>
      <w:marRight w:val="0"/>
      <w:marTop w:val="0"/>
      <w:marBottom w:val="0"/>
      <w:divBdr>
        <w:top w:val="none" w:sz="0" w:space="0" w:color="auto"/>
        <w:left w:val="none" w:sz="0" w:space="0" w:color="auto"/>
        <w:bottom w:val="none" w:sz="0" w:space="0" w:color="auto"/>
        <w:right w:val="none" w:sz="0" w:space="0" w:color="auto"/>
      </w:divBdr>
    </w:div>
    <w:div w:id="1870953836">
      <w:bodyDiv w:val="1"/>
      <w:marLeft w:val="0"/>
      <w:marRight w:val="0"/>
      <w:marTop w:val="0"/>
      <w:marBottom w:val="0"/>
      <w:divBdr>
        <w:top w:val="none" w:sz="0" w:space="0" w:color="auto"/>
        <w:left w:val="none" w:sz="0" w:space="0" w:color="auto"/>
        <w:bottom w:val="none" w:sz="0" w:space="0" w:color="auto"/>
        <w:right w:val="none" w:sz="0" w:space="0" w:color="auto"/>
      </w:divBdr>
    </w:div>
    <w:div w:id="1871338960">
      <w:bodyDiv w:val="1"/>
      <w:marLeft w:val="0"/>
      <w:marRight w:val="0"/>
      <w:marTop w:val="0"/>
      <w:marBottom w:val="0"/>
      <w:divBdr>
        <w:top w:val="none" w:sz="0" w:space="0" w:color="auto"/>
        <w:left w:val="none" w:sz="0" w:space="0" w:color="auto"/>
        <w:bottom w:val="none" w:sz="0" w:space="0" w:color="auto"/>
        <w:right w:val="none" w:sz="0" w:space="0" w:color="auto"/>
      </w:divBdr>
      <w:divsChild>
        <w:div w:id="179027306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531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0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657748">
      <w:bodyDiv w:val="1"/>
      <w:marLeft w:val="0"/>
      <w:marRight w:val="0"/>
      <w:marTop w:val="0"/>
      <w:marBottom w:val="0"/>
      <w:divBdr>
        <w:top w:val="none" w:sz="0" w:space="0" w:color="auto"/>
        <w:left w:val="none" w:sz="0" w:space="0" w:color="auto"/>
        <w:bottom w:val="none" w:sz="0" w:space="0" w:color="auto"/>
        <w:right w:val="none" w:sz="0" w:space="0" w:color="auto"/>
      </w:divBdr>
      <w:divsChild>
        <w:div w:id="44754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382951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240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5471891">
      <w:bodyDiv w:val="1"/>
      <w:marLeft w:val="0"/>
      <w:marRight w:val="0"/>
      <w:marTop w:val="0"/>
      <w:marBottom w:val="0"/>
      <w:divBdr>
        <w:top w:val="none" w:sz="0" w:space="0" w:color="auto"/>
        <w:left w:val="none" w:sz="0" w:space="0" w:color="auto"/>
        <w:bottom w:val="none" w:sz="0" w:space="0" w:color="auto"/>
        <w:right w:val="none" w:sz="0" w:space="0" w:color="auto"/>
      </w:divBdr>
      <w:divsChild>
        <w:div w:id="1838378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828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56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0274592">
      <w:bodyDiv w:val="1"/>
      <w:marLeft w:val="0"/>
      <w:marRight w:val="0"/>
      <w:marTop w:val="0"/>
      <w:marBottom w:val="0"/>
      <w:divBdr>
        <w:top w:val="none" w:sz="0" w:space="0" w:color="auto"/>
        <w:left w:val="none" w:sz="0" w:space="0" w:color="auto"/>
        <w:bottom w:val="none" w:sz="0" w:space="0" w:color="auto"/>
        <w:right w:val="none" w:sz="0" w:space="0" w:color="auto"/>
      </w:divBdr>
      <w:divsChild>
        <w:div w:id="819927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9</cp:revision>
  <dcterms:created xsi:type="dcterms:W3CDTF">2025-05-18T19:51:00Z</dcterms:created>
  <dcterms:modified xsi:type="dcterms:W3CDTF">2026-01-20T20:22:00Z</dcterms:modified>
</cp:coreProperties>
</file>