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E01D" w14:textId="77777777" w:rsidR="00667E53" w:rsidRPr="00872A7D" w:rsidRDefault="00DA4DCC" w:rsidP="00667E53">
      <w:pPr>
        <w:jc w:val="center"/>
        <w:rPr>
          <w:rFonts w:ascii="Times New Roman" w:hAnsi="Times New Roman" w:cs="Times New Roman"/>
          <w:b/>
          <w:bCs/>
          <w:i/>
          <w:iCs/>
          <w:sz w:val="44"/>
          <w:szCs w:val="44"/>
        </w:rPr>
      </w:pPr>
      <w:r w:rsidRPr="00872A7D">
        <w:rPr>
          <w:rFonts w:ascii="Times New Roman" w:hAnsi="Times New Roman" w:cs="Times New Roman"/>
          <w:b/>
          <w:bCs/>
          <w:i/>
          <w:iCs/>
          <w:sz w:val="52"/>
          <w:szCs w:val="52"/>
        </w:rPr>
        <w:t>Love in the Golden Years</w:t>
      </w:r>
      <w:r w:rsidRPr="00872A7D">
        <w:rPr>
          <w:rFonts w:ascii="Times New Roman" w:hAnsi="Times New Roman" w:cs="Times New Roman"/>
          <w:b/>
          <w:bCs/>
          <w:i/>
          <w:iCs/>
          <w:sz w:val="52"/>
          <w:szCs w:val="52"/>
        </w:rPr>
        <w:br/>
      </w:r>
      <w:r w:rsidRPr="00872A7D">
        <w:rPr>
          <w:rFonts w:ascii="Times New Roman" w:hAnsi="Times New Roman" w:cs="Times New Roman"/>
          <w:b/>
          <w:bCs/>
          <w:i/>
          <w:iCs/>
          <w:sz w:val="44"/>
          <w:szCs w:val="44"/>
        </w:rPr>
        <w:t>Navigating Romance After 70"</w:t>
      </w:r>
    </w:p>
    <w:p w14:paraId="7E3F9B23" w14:textId="2ACFEB70" w:rsidR="00667E53" w:rsidRDefault="00667E53" w:rsidP="00667E53">
      <w:pPr>
        <w:jc w:val="center"/>
        <w:rPr>
          <w:rFonts w:ascii="Times New Roman" w:hAnsi="Times New Roman" w:cs="Times New Roman"/>
          <w:b/>
          <w:bCs/>
          <w:sz w:val="36"/>
          <w:szCs w:val="36"/>
        </w:rPr>
      </w:pPr>
      <w:r w:rsidRPr="00872A7D">
        <w:rPr>
          <w:rFonts w:ascii="Times New Roman" w:hAnsi="Times New Roman" w:cs="Times New Roman"/>
          <w:b/>
          <w:bCs/>
          <w:sz w:val="36"/>
          <w:szCs w:val="36"/>
        </w:rPr>
        <w:t>By Marc Silver</w:t>
      </w:r>
    </w:p>
    <w:p w14:paraId="38CB3395" w14:textId="77777777" w:rsidR="00872A7D" w:rsidRPr="00872A7D" w:rsidRDefault="00872A7D" w:rsidP="00667E53">
      <w:pPr>
        <w:jc w:val="center"/>
        <w:rPr>
          <w:rFonts w:ascii="Times New Roman" w:hAnsi="Times New Roman" w:cs="Times New Roman"/>
          <w:b/>
          <w:bCs/>
          <w:i/>
          <w:iCs/>
          <w:sz w:val="36"/>
          <w:szCs w:val="36"/>
        </w:rPr>
      </w:pPr>
    </w:p>
    <w:p w14:paraId="05C9F554"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Love Doesn’t Retire—It Reinvents Itself</w:t>
      </w:r>
    </w:p>
    <w:p w14:paraId="2FD553C2"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When Margaret, 78, went on her first date after losing her husband, she hesitated before walking into the café. "What am I doing?" she thought. "Is this ridiculous at my age?" But when her date smiled at her, all the doubt melted away. There’s this weird myth that love has an expiration date, as if once you hit 70, you’re supposed to hang up your heart like an old coat and resign yourself to a life of crossword puzzles and early bird specials. But here’s the truth: Love isn’t just for the young. It evolves, deepens, and often becomes even more rewarding later in life.</w:t>
      </w:r>
    </w:p>
    <w:p w14:paraId="25FB14D1"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Margaret, 78, puts it perfectly: After losing her husband of 50 years, she never imagined she’d feel that spark again. "I thought that part of my life was over," she admits. But after months of gentle encouragement from her friends, she agreed to go on a lunch date. "I was nervous, but as soon as we started talking, I realized—I still have so much love to give, and I deserve to receive it too." “Dating at 70 isn’t about replacing lost love; it’s about discovering new chapters.” That’s the spirit of senior romance—it’s not about going backward but about moving forward with all the wisdom and experiences that got you here.</w:t>
      </w:r>
    </w:p>
    <w:p w14:paraId="2C5A5983" w14:textId="7FE3883F"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The problem? Society doesn’t always get it. People either treat senior relationships as “cute” or, worse, “gross.” And heaven forbid anyone over 70 </w:t>
      </w:r>
      <w:r w:rsidR="00F84EE5" w:rsidRPr="00872A7D">
        <w:rPr>
          <w:rFonts w:ascii="Times New Roman" w:hAnsi="Times New Roman" w:cs="Times New Roman"/>
          <w:sz w:val="36"/>
          <w:szCs w:val="36"/>
        </w:rPr>
        <w:t>talks</w:t>
      </w:r>
      <w:r w:rsidRPr="00872A7D">
        <w:rPr>
          <w:rFonts w:ascii="Times New Roman" w:hAnsi="Times New Roman" w:cs="Times New Roman"/>
          <w:sz w:val="36"/>
          <w:szCs w:val="36"/>
        </w:rPr>
        <w:t xml:space="preserve"> about intimacy! But that’s their problem, not ours. This stage of life is about rewriting the script, ignoring the critics, and embracing love in whatever form it finds us.</w:t>
      </w:r>
    </w:p>
    <w:p w14:paraId="2128CA49" w14:textId="77777777" w:rsidR="00872A7D" w:rsidRPr="00872A7D" w:rsidRDefault="00000000" w:rsidP="00872A7D">
      <w:pPr>
        <w:rPr>
          <w:rFonts w:ascii="Times New Roman" w:hAnsi="Times New Roman" w:cs="Times New Roman"/>
          <w:sz w:val="36"/>
          <w:szCs w:val="36"/>
        </w:rPr>
      </w:pPr>
      <w:r>
        <w:rPr>
          <w:rFonts w:ascii="Times New Roman" w:hAnsi="Times New Roman" w:cs="Times New Roman"/>
          <w:sz w:val="36"/>
          <w:szCs w:val="36"/>
        </w:rPr>
        <w:pict w14:anchorId="620A1AE4">
          <v:rect id="_x0000_i1025" style="width:0;height:1.5pt" o:hralign="center" o:hrstd="t" o:hr="t" fillcolor="#a0a0a0" stroked="f"/>
        </w:pict>
      </w:r>
    </w:p>
    <w:p w14:paraId="34E5283D"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Love at Any Age: Breaking the Stereotypes</w:t>
      </w:r>
    </w:p>
    <w:p w14:paraId="56457E35"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Let’s tackle the biggest misconception first: Desire doesn’t disappear with age. A 2022 AARP study found that 65% of singles over 70 are actively looking for companionship (AARP, 2022). That’s not just a handful of people—that’s a movement.</w:t>
      </w:r>
    </w:p>
    <w:p w14:paraId="43078D1F"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And it’s not just about emotional connection. The Journal of Gerontology reports that seniors in loving relationships have lower rates of depression and better cognitive health (Journal of Gerontology, 2020). Love—whether it’s holding hands, long talks, or something more intimate—is good for the mind and body.</w:t>
      </w:r>
    </w:p>
    <w:p w14:paraId="13BDBE3F"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Reframing the “Gross” Label</w:t>
      </w:r>
    </w:p>
    <w:p w14:paraId="71384482"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Some people seem to think romance after 70 is somehow inappropriate. To that, I say: Why is a 25-year-old’s love story celebrated, while a 75-year-old’s is questioned? Love isn’t age-restricted. Wrinkles and gray hair aren’t barriers—they’re badges of survival.</w:t>
      </w:r>
    </w:p>
    <w:p w14:paraId="16A93653"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Helen, 81, found herself defending her new relationship with Walter, a fellow widower she met at a community center book club. They bonded over their shared love of historical fiction, and soon their weekly discussions turned into long walks and late-night phone calls. When her grandson questioned her, saying, “Grandma, you’re too old for this,” she responded with a smile, “Too old for joy? Never.” to her grandson, who said, “Grandma, you’re too old for this.” Her response? “Too old for joy? Never.” That’s the attitude we need.</w:t>
      </w:r>
    </w:p>
    <w:p w14:paraId="7495D4CF" w14:textId="77777777" w:rsidR="00872A7D" w:rsidRPr="00872A7D" w:rsidRDefault="00000000" w:rsidP="00872A7D">
      <w:pPr>
        <w:rPr>
          <w:rFonts w:ascii="Times New Roman" w:hAnsi="Times New Roman" w:cs="Times New Roman"/>
          <w:sz w:val="36"/>
          <w:szCs w:val="36"/>
        </w:rPr>
      </w:pPr>
      <w:r>
        <w:rPr>
          <w:rFonts w:ascii="Times New Roman" w:hAnsi="Times New Roman" w:cs="Times New Roman"/>
          <w:sz w:val="36"/>
          <w:szCs w:val="36"/>
        </w:rPr>
        <w:pict w14:anchorId="38B67984">
          <v:rect id="_x0000_i1026" style="width:0;height:1.5pt" o:hralign="center" o:hrstd="t" o:hr="t" fillcolor="#a0a0a0" stroked="f"/>
        </w:pict>
      </w:r>
    </w:p>
    <w:p w14:paraId="3311EE0E"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Moving Forward: Love After Loss</w:t>
      </w:r>
    </w:p>
    <w:p w14:paraId="51E65571"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Losing a partner is devastating, and the idea of moving on can feel like a betrayal. But finding love again isn’t about forgetting—it’s about honoring what was while embracing what’s still possible.</w:t>
      </w:r>
    </w:p>
    <w:p w14:paraId="0C68BF66"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Ways to Heal and Open Up:</w:t>
      </w:r>
    </w:p>
    <w:p w14:paraId="29835C63" w14:textId="77777777" w:rsidR="00872A7D" w:rsidRPr="00872A7D" w:rsidRDefault="00872A7D" w:rsidP="00872A7D">
      <w:pPr>
        <w:numPr>
          <w:ilvl w:val="0"/>
          <w:numId w:val="40"/>
        </w:numPr>
        <w:rPr>
          <w:rFonts w:ascii="Times New Roman" w:hAnsi="Times New Roman" w:cs="Times New Roman"/>
          <w:sz w:val="36"/>
          <w:szCs w:val="36"/>
        </w:rPr>
      </w:pPr>
      <w:r w:rsidRPr="00872A7D">
        <w:rPr>
          <w:rFonts w:ascii="Times New Roman" w:hAnsi="Times New Roman" w:cs="Times New Roman"/>
          <w:sz w:val="36"/>
          <w:szCs w:val="36"/>
        </w:rPr>
        <w:t>Write a Letter to Your Late Partner: Express gratitude, share memories, and give yourself permission to move forward. Some people even plant the letter under a tree as a symbol of growth.</w:t>
      </w:r>
    </w:p>
    <w:p w14:paraId="2F7BFB83" w14:textId="77777777" w:rsidR="00872A7D" w:rsidRPr="00872A7D" w:rsidRDefault="00872A7D" w:rsidP="00872A7D">
      <w:pPr>
        <w:numPr>
          <w:ilvl w:val="0"/>
          <w:numId w:val="40"/>
        </w:numPr>
        <w:rPr>
          <w:rFonts w:ascii="Times New Roman" w:hAnsi="Times New Roman" w:cs="Times New Roman"/>
          <w:sz w:val="36"/>
          <w:szCs w:val="36"/>
        </w:rPr>
      </w:pPr>
      <w:r w:rsidRPr="00872A7D">
        <w:rPr>
          <w:rFonts w:ascii="Times New Roman" w:hAnsi="Times New Roman" w:cs="Times New Roman"/>
          <w:sz w:val="36"/>
          <w:szCs w:val="36"/>
        </w:rPr>
        <w:t>Talk to Someone: A therapist specializing in grief and aging can help you navigate complicated emotions. As Ruth, 77, puts it, “My therapist asked me, ‘What would your partner want for you?’ That changed everything.” That simple question forced her to reflect on the deep love she had shared and how her late husband would have wanted her to find happiness again. At first, she resisted the idea, feeling guilty at the thought of moving on. But gradually, she came to understand that loving again didn’t mean forgetting—it meant carrying those cherished memories forward while allowing herself to create new ones. "He wouldn’t have wanted me to spend my remaining years alone and grieving," she realized. "He would have wanted me to smile again." (Schwartz, 2020).</w:t>
      </w:r>
    </w:p>
    <w:p w14:paraId="426C973F"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What to Say to People Who Don’t Get It:</w:t>
      </w:r>
    </w:p>
    <w:p w14:paraId="5AF330BD" w14:textId="77777777" w:rsidR="00872A7D" w:rsidRPr="00872A7D" w:rsidRDefault="00872A7D" w:rsidP="00872A7D">
      <w:pPr>
        <w:numPr>
          <w:ilvl w:val="0"/>
          <w:numId w:val="41"/>
        </w:numPr>
        <w:rPr>
          <w:rFonts w:ascii="Times New Roman" w:hAnsi="Times New Roman" w:cs="Times New Roman"/>
          <w:sz w:val="36"/>
          <w:szCs w:val="36"/>
        </w:rPr>
      </w:pPr>
      <w:r w:rsidRPr="00872A7D">
        <w:rPr>
          <w:rFonts w:ascii="Times New Roman" w:hAnsi="Times New Roman" w:cs="Times New Roman"/>
          <w:sz w:val="36"/>
          <w:szCs w:val="36"/>
        </w:rPr>
        <w:t>To Family: “I know you worry, but happiness isn’t reserved for the young.”</w:t>
      </w:r>
    </w:p>
    <w:p w14:paraId="3EA1AF3B" w14:textId="77777777" w:rsidR="00872A7D" w:rsidRPr="00872A7D" w:rsidRDefault="00872A7D" w:rsidP="00872A7D">
      <w:pPr>
        <w:numPr>
          <w:ilvl w:val="0"/>
          <w:numId w:val="41"/>
        </w:numPr>
        <w:rPr>
          <w:rFonts w:ascii="Times New Roman" w:hAnsi="Times New Roman" w:cs="Times New Roman"/>
          <w:sz w:val="36"/>
          <w:szCs w:val="36"/>
        </w:rPr>
      </w:pPr>
      <w:r w:rsidRPr="00872A7D">
        <w:rPr>
          <w:rFonts w:ascii="Times New Roman" w:hAnsi="Times New Roman" w:cs="Times New Roman"/>
          <w:sz w:val="36"/>
          <w:szCs w:val="36"/>
        </w:rPr>
        <w:t>To Critics: “My heart isn’t a museum—it’s alive.”</w:t>
      </w:r>
    </w:p>
    <w:p w14:paraId="5BCC4BD7" w14:textId="77777777" w:rsidR="00872A7D" w:rsidRPr="00872A7D" w:rsidRDefault="00000000" w:rsidP="00872A7D">
      <w:pPr>
        <w:rPr>
          <w:rFonts w:ascii="Times New Roman" w:hAnsi="Times New Roman" w:cs="Times New Roman"/>
          <w:sz w:val="36"/>
          <w:szCs w:val="36"/>
        </w:rPr>
      </w:pPr>
      <w:r>
        <w:rPr>
          <w:rFonts w:ascii="Times New Roman" w:hAnsi="Times New Roman" w:cs="Times New Roman"/>
          <w:sz w:val="36"/>
          <w:szCs w:val="36"/>
        </w:rPr>
        <w:pict w14:anchorId="4B608AE1">
          <v:rect id="_x0000_i1027" style="width:0;height:1.5pt" o:hralign="center" o:hrstd="t" o:hr="t" fillcolor="#a0a0a0" stroked="f"/>
        </w:pict>
      </w:r>
    </w:p>
    <w:p w14:paraId="4786560A"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Love in the Time of Aches and Pains</w:t>
      </w:r>
    </w:p>
    <w:p w14:paraId="079F9CCC"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Let’s be real: Bodies change. Arthritis, joint pain, and other health issues can make romance look different, but they don’t have to stop it. The key is adapting.</w:t>
      </w:r>
    </w:p>
    <w:p w14:paraId="114EE573" w14:textId="77777777" w:rsidR="00872A7D" w:rsidRPr="00872A7D" w:rsidRDefault="00872A7D" w:rsidP="00872A7D">
      <w:pPr>
        <w:rPr>
          <w:rFonts w:ascii="Times New Roman" w:hAnsi="Times New Roman" w:cs="Times New Roman"/>
          <w:i/>
          <w:iCs/>
          <w:sz w:val="36"/>
          <w:szCs w:val="36"/>
        </w:rPr>
      </w:pPr>
      <w:r w:rsidRPr="00872A7D">
        <w:rPr>
          <w:rFonts w:ascii="Times New Roman" w:hAnsi="Times New Roman" w:cs="Times New Roman"/>
          <w:i/>
          <w:iCs/>
          <w:sz w:val="36"/>
          <w:szCs w:val="36"/>
        </w:rPr>
        <w:t>Creative Ways to Stay Close:</w:t>
      </w:r>
    </w:p>
    <w:p w14:paraId="1AC52E1E" w14:textId="77777777" w:rsidR="00872A7D" w:rsidRPr="00872A7D" w:rsidRDefault="00872A7D" w:rsidP="00872A7D">
      <w:pPr>
        <w:numPr>
          <w:ilvl w:val="0"/>
          <w:numId w:val="42"/>
        </w:numPr>
        <w:rPr>
          <w:rFonts w:ascii="Times New Roman" w:hAnsi="Times New Roman" w:cs="Times New Roman"/>
          <w:sz w:val="36"/>
          <w:szCs w:val="36"/>
        </w:rPr>
      </w:pPr>
      <w:r w:rsidRPr="00872A7D">
        <w:rPr>
          <w:rFonts w:ascii="Times New Roman" w:hAnsi="Times New Roman" w:cs="Times New Roman"/>
          <w:sz w:val="36"/>
          <w:szCs w:val="36"/>
        </w:rPr>
        <w:t>Find New Rhythms: If ballroom dancing is too much, try slow walks together. It’s still movement, still connection.</w:t>
      </w:r>
    </w:p>
    <w:p w14:paraId="1986F75D" w14:textId="77777777" w:rsidR="00872A7D" w:rsidRPr="00872A7D" w:rsidRDefault="00872A7D" w:rsidP="00872A7D">
      <w:pPr>
        <w:numPr>
          <w:ilvl w:val="0"/>
          <w:numId w:val="42"/>
        </w:numPr>
        <w:rPr>
          <w:rFonts w:ascii="Times New Roman" w:hAnsi="Times New Roman" w:cs="Times New Roman"/>
          <w:sz w:val="36"/>
          <w:szCs w:val="36"/>
        </w:rPr>
      </w:pPr>
      <w:r w:rsidRPr="00872A7D">
        <w:rPr>
          <w:rFonts w:ascii="Times New Roman" w:hAnsi="Times New Roman" w:cs="Times New Roman"/>
          <w:sz w:val="36"/>
          <w:szCs w:val="36"/>
        </w:rPr>
        <w:t>Redefine Intimacy: Holding hands, cuddling, shared laughter—these things matter as much as (if not more than) traditional romance.</w:t>
      </w:r>
    </w:p>
    <w:p w14:paraId="69CC62AE" w14:textId="77777777" w:rsidR="00872A7D" w:rsidRPr="00872A7D" w:rsidRDefault="00872A7D" w:rsidP="00872A7D">
      <w:pPr>
        <w:numPr>
          <w:ilvl w:val="0"/>
          <w:numId w:val="42"/>
        </w:numPr>
        <w:rPr>
          <w:rFonts w:ascii="Times New Roman" w:hAnsi="Times New Roman" w:cs="Times New Roman"/>
          <w:sz w:val="36"/>
          <w:szCs w:val="36"/>
        </w:rPr>
      </w:pPr>
      <w:r w:rsidRPr="00872A7D">
        <w:rPr>
          <w:rFonts w:ascii="Times New Roman" w:hAnsi="Times New Roman" w:cs="Times New Roman"/>
          <w:sz w:val="36"/>
          <w:szCs w:val="36"/>
        </w:rPr>
        <w:t>Talk to Your Doctor: Whether it’s ED medication, physical therapy, or just finding what works for you, medical support is there to help (Price, 2017).</w:t>
      </w:r>
    </w:p>
    <w:p w14:paraId="60F29A61"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Roy, 84, sums it up well: “We nap holding hands. It’s our quiet rebellion against ‘old age.’” Similarly, Edith, 79, and her partner have a nightly tradition of reading to each other. "We take turns picking a book, and sometimes we don’t even get through a chapter before we’re laughing too hard to continue. That’s intimacy to me."</w:t>
      </w:r>
    </w:p>
    <w:p w14:paraId="56196E07" w14:textId="77777777" w:rsidR="00872A7D" w:rsidRPr="00872A7D" w:rsidRDefault="00000000" w:rsidP="00872A7D">
      <w:pPr>
        <w:rPr>
          <w:rFonts w:ascii="Times New Roman" w:hAnsi="Times New Roman" w:cs="Times New Roman"/>
          <w:sz w:val="36"/>
          <w:szCs w:val="36"/>
        </w:rPr>
      </w:pPr>
      <w:r>
        <w:rPr>
          <w:rFonts w:ascii="Times New Roman" w:hAnsi="Times New Roman" w:cs="Times New Roman"/>
          <w:sz w:val="36"/>
          <w:szCs w:val="36"/>
        </w:rPr>
        <w:pict w14:anchorId="51BCAFFB">
          <v:rect id="_x0000_i1028" style="width:0;height:1.5pt" o:hralign="center" o:hrstd="t" o:hr="t" fillcolor="#a0a0a0" stroked="f"/>
        </w:pict>
      </w:r>
    </w:p>
    <w:p w14:paraId="289EE6E0"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i/>
          <w:iCs/>
          <w:sz w:val="36"/>
          <w:szCs w:val="36"/>
        </w:rPr>
        <w:t>Love and Money</w:t>
      </w:r>
      <w:r w:rsidRPr="00872A7D">
        <w:rPr>
          <w:rFonts w:ascii="Times New Roman" w:hAnsi="Times New Roman" w:cs="Times New Roman"/>
          <w:sz w:val="36"/>
          <w:szCs w:val="36"/>
        </w:rPr>
        <w:t>: Keeping Romance and Finances Separate</w:t>
      </w:r>
    </w:p>
    <w:p w14:paraId="730BDB2A"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Love is wonderful, but it doesn’t pay the bills—and mixing finances later in life can get tricky. Protecting your assets while still enjoying a relationship is key.</w:t>
      </w:r>
    </w:p>
    <w:p w14:paraId="28E3D884" w14:textId="77777777" w:rsidR="00872A7D" w:rsidRPr="00872A7D" w:rsidRDefault="00872A7D" w:rsidP="00872A7D">
      <w:pPr>
        <w:rPr>
          <w:rFonts w:ascii="Times New Roman" w:hAnsi="Times New Roman" w:cs="Times New Roman"/>
          <w:i/>
          <w:iCs/>
          <w:sz w:val="36"/>
          <w:szCs w:val="36"/>
        </w:rPr>
      </w:pPr>
      <w:r w:rsidRPr="00872A7D">
        <w:rPr>
          <w:rFonts w:ascii="Times New Roman" w:hAnsi="Times New Roman" w:cs="Times New Roman"/>
          <w:i/>
          <w:iCs/>
          <w:sz w:val="36"/>
          <w:szCs w:val="36"/>
        </w:rPr>
        <w:t>Money Tips for Senior Dating:</w:t>
      </w:r>
    </w:p>
    <w:p w14:paraId="47F5F5FA" w14:textId="77777777" w:rsidR="00872A7D" w:rsidRPr="00872A7D" w:rsidRDefault="00872A7D" w:rsidP="00872A7D">
      <w:pPr>
        <w:numPr>
          <w:ilvl w:val="0"/>
          <w:numId w:val="43"/>
        </w:numPr>
        <w:rPr>
          <w:rFonts w:ascii="Times New Roman" w:hAnsi="Times New Roman" w:cs="Times New Roman"/>
          <w:sz w:val="36"/>
          <w:szCs w:val="36"/>
        </w:rPr>
      </w:pPr>
      <w:r w:rsidRPr="00872A7D">
        <w:rPr>
          <w:rFonts w:ascii="Times New Roman" w:hAnsi="Times New Roman" w:cs="Times New Roman"/>
          <w:sz w:val="36"/>
          <w:szCs w:val="36"/>
        </w:rPr>
        <w:t>Keep Separate Accounts: Pensions, savings, and inheritances should stay individual.</w:t>
      </w:r>
    </w:p>
    <w:p w14:paraId="41EA503C" w14:textId="77777777" w:rsidR="00872A7D" w:rsidRPr="00872A7D" w:rsidRDefault="00872A7D" w:rsidP="00872A7D">
      <w:pPr>
        <w:numPr>
          <w:ilvl w:val="0"/>
          <w:numId w:val="43"/>
        </w:numPr>
        <w:rPr>
          <w:rFonts w:ascii="Times New Roman" w:hAnsi="Times New Roman" w:cs="Times New Roman"/>
          <w:sz w:val="36"/>
          <w:szCs w:val="36"/>
        </w:rPr>
      </w:pPr>
      <w:r w:rsidRPr="00872A7D">
        <w:rPr>
          <w:rFonts w:ascii="Times New Roman" w:hAnsi="Times New Roman" w:cs="Times New Roman"/>
          <w:sz w:val="36"/>
          <w:szCs w:val="36"/>
        </w:rPr>
        <w:t>Consider a Prenup: It’s not unromantic—it’s practical. Tom, 72, says, “Our prenup ensured peace between my kids and hers” (AARP, 2022).</w:t>
      </w:r>
    </w:p>
    <w:p w14:paraId="5514F486" w14:textId="77777777" w:rsidR="00872A7D" w:rsidRPr="00872A7D" w:rsidRDefault="00872A7D" w:rsidP="00872A7D">
      <w:pPr>
        <w:numPr>
          <w:ilvl w:val="0"/>
          <w:numId w:val="43"/>
        </w:numPr>
        <w:rPr>
          <w:rFonts w:ascii="Times New Roman" w:hAnsi="Times New Roman" w:cs="Times New Roman"/>
          <w:sz w:val="36"/>
          <w:szCs w:val="36"/>
        </w:rPr>
      </w:pPr>
      <w:r w:rsidRPr="00872A7D">
        <w:rPr>
          <w:rFonts w:ascii="Times New Roman" w:hAnsi="Times New Roman" w:cs="Times New Roman"/>
          <w:sz w:val="36"/>
          <w:szCs w:val="36"/>
        </w:rPr>
        <w:t>Be Transparent: If a new partner avoids talking about money, that’s a red flag.</w:t>
      </w:r>
    </w:p>
    <w:p w14:paraId="1FF593A5"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i/>
          <w:iCs/>
          <w:sz w:val="36"/>
          <w:szCs w:val="36"/>
        </w:rPr>
        <w:t>Red Flags to Watch Out For:</w:t>
      </w:r>
      <w:r w:rsidRPr="00872A7D">
        <w:rPr>
          <w:rFonts w:ascii="Times New Roman" w:hAnsi="Times New Roman" w:cs="Times New Roman"/>
          <w:i/>
          <w:iCs/>
          <w:sz w:val="36"/>
          <w:szCs w:val="36"/>
        </w:rPr>
        <w:br/>
      </w:r>
      <w:r w:rsidRPr="00872A7D">
        <w:rPr>
          <w:rFonts w:ascii="Segoe UI Emoji" w:hAnsi="Segoe UI Emoji" w:cs="Segoe UI Emoji"/>
          <w:sz w:val="36"/>
          <w:szCs w:val="36"/>
        </w:rPr>
        <w:t>🚩</w:t>
      </w:r>
      <w:r w:rsidRPr="00872A7D">
        <w:rPr>
          <w:rFonts w:ascii="Times New Roman" w:hAnsi="Times New Roman" w:cs="Times New Roman"/>
          <w:sz w:val="36"/>
          <w:szCs w:val="36"/>
        </w:rPr>
        <w:t xml:space="preserve"> “Let’s invest in my nephew’s startup!”</w:t>
      </w:r>
      <w:r w:rsidRPr="00872A7D">
        <w:rPr>
          <w:rFonts w:ascii="Times New Roman" w:hAnsi="Times New Roman" w:cs="Times New Roman"/>
          <w:sz w:val="36"/>
          <w:szCs w:val="36"/>
        </w:rPr>
        <w:br/>
      </w:r>
      <w:r w:rsidRPr="00872A7D">
        <w:rPr>
          <w:rFonts w:ascii="Segoe UI Emoji" w:hAnsi="Segoe UI Emoji" w:cs="Segoe UI Emoji"/>
          <w:sz w:val="36"/>
          <w:szCs w:val="36"/>
        </w:rPr>
        <w:t>🚩</w:t>
      </w:r>
      <w:r w:rsidRPr="00872A7D">
        <w:rPr>
          <w:rFonts w:ascii="Times New Roman" w:hAnsi="Times New Roman" w:cs="Times New Roman"/>
          <w:sz w:val="36"/>
          <w:szCs w:val="36"/>
        </w:rPr>
        <w:t xml:space="preserve"> Evasiveness about debt or finances.</w:t>
      </w:r>
    </w:p>
    <w:p w14:paraId="2B2DE80D"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Mildred, 71, learned this lesson the hard way—losing $50,000 to a partner with a gambling problem. Looking back, she realizes there were warning signs: vague answers about his finances, reluctance to introduce her to family, and frequent "urgent" investment opportunities. "Now I ask for bank statements before I share dessert," she jokes. A good rule of thumb? If someone avoids talking about money, rushes financial decisions, or seems secretive about their past, take a step back and assess. “Now I ask for bank statements before I share dessert,” she jokes.</w:t>
      </w:r>
    </w:p>
    <w:p w14:paraId="1B2BFCAA" w14:textId="77777777" w:rsidR="00872A7D" w:rsidRPr="00872A7D" w:rsidRDefault="00000000" w:rsidP="00872A7D">
      <w:pPr>
        <w:rPr>
          <w:rFonts w:ascii="Times New Roman" w:hAnsi="Times New Roman" w:cs="Times New Roman"/>
          <w:sz w:val="36"/>
          <w:szCs w:val="36"/>
        </w:rPr>
      </w:pPr>
      <w:r>
        <w:rPr>
          <w:rFonts w:ascii="Times New Roman" w:hAnsi="Times New Roman" w:cs="Times New Roman"/>
          <w:sz w:val="36"/>
          <w:szCs w:val="36"/>
        </w:rPr>
        <w:pict w14:anchorId="4EB80CA5">
          <v:rect id="_x0000_i1029" style="width:0;height:1.5pt" o:hralign="center" o:hrstd="t" o:hr="t" fillcolor="#a0a0a0" stroked="f"/>
        </w:pict>
      </w:r>
    </w:p>
    <w:p w14:paraId="0188B33E"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References</w:t>
      </w:r>
    </w:p>
    <w:p w14:paraId="74510ED0"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AARP (2022). </w:t>
      </w:r>
      <w:r w:rsidRPr="00872A7D">
        <w:rPr>
          <w:rFonts w:ascii="Times New Roman" w:hAnsi="Times New Roman" w:cs="Times New Roman"/>
          <w:i/>
          <w:iCs/>
          <w:sz w:val="36"/>
          <w:szCs w:val="36"/>
        </w:rPr>
        <w:t>Dating and Relationships in Older Adulthood.</w:t>
      </w:r>
      <w:r w:rsidRPr="00872A7D">
        <w:rPr>
          <w:rFonts w:ascii="Times New Roman" w:hAnsi="Times New Roman" w:cs="Times New Roman"/>
          <w:sz w:val="36"/>
          <w:szCs w:val="36"/>
        </w:rPr>
        <w:t xml:space="preserve"> Retrieved from </w:t>
      </w:r>
      <w:hyperlink r:id="rId5" w:history="1">
        <w:r w:rsidRPr="00872A7D">
          <w:rPr>
            <w:rStyle w:val="Hyperlink"/>
            <w:rFonts w:ascii="Times New Roman" w:hAnsi="Times New Roman" w:cs="Times New Roman"/>
            <w:sz w:val="36"/>
            <w:szCs w:val="36"/>
          </w:rPr>
          <w:t>www.aarp.org</w:t>
        </w:r>
      </w:hyperlink>
    </w:p>
    <w:p w14:paraId="64B231BB"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Journal of Gerontology (2020). </w:t>
      </w:r>
      <w:r w:rsidRPr="00872A7D">
        <w:rPr>
          <w:rFonts w:ascii="Times New Roman" w:hAnsi="Times New Roman" w:cs="Times New Roman"/>
          <w:i/>
          <w:iCs/>
          <w:sz w:val="36"/>
          <w:szCs w:val="36"/>
        </w:rPr>
        <w:t>Impact of Intimate Relationships on Senior Mental Health.</w:t>
      </w:r>
      <w:r w:rsidRPr="00872A7D">
        <w:rPr>
          <w:rFonts w:ascii="Times New Roman" w:hAnsi="Times New Roman" w:cs="Times New Roman"/>
          <w:sz w:val="36"/>
          <w:szCs w:val="36"/>
        </w:rPr>
        <w:t xml:space="preserve"> Retrieved from </w:t>
      </w:r>
      <w:hyperlink r:id="rId6" w:history="1">
        <w:r w:rsidRPr="00872A7D">
          <w:rPr>
            <w:rStyle w:val="Hyperlink"/>
            <w:rFonts w:ascii="Times New Roman" w:hAnsi="Times New Roman" w:cs="Times New Roman"/>
            <w:sz w:val="36"/>
            <w:szCs w:val="36"/>
          </w:rPr>
          <w:t>www.geron.org</w:t>
        </w:r>
      </w:hyperlink>
    </w:p>
    <w:p w14:paraId="232AB52B"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Schwartz, P. (2020). </w:t>
      </w:r>
      <w:r w:rsidRPr="00872A7D">
        <w:rPr>
          <w:rFonts w:ascii="Times New Roman" w:hAnsi="Times New Roman" w:cs="Times New Roman"/>
          <w:i/>
          <w:iCs/>
          <w:sz w:val="36"/>
          <w:szCs w:val="36"/>
        </w:rPr>
        <w:t>Aging and Sexuality: A Lifelong Journey.</w:t>
      </w:r>
      <w:r w:rsidRPr="00872A7D">
        <w:rPr>
          <w:rFonts w:ascii="Times New Roman" w:hAnsi="Times New Roman" w:cs="Times New Roman"/>
          <w:sz w:val="36"/>
          <w:szCs w:val="36"/>
        </w:rPr>
        <w:t xml:space="preserve"> New York: HarperCollins.</w:t>
      </w:r>
    </w:p>
    <w:p w14:paraId="363B319A" w14:textId="21FA30E6" w:rsidR="00D467F5"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Price, J. (2017). </w:t>
      </w:r>
      <w:r w:rsidRPr="00872A7D">
        <w:rPr>
          <w:rFonts w:ascii="Times New Roman" w:hAnsi="Times New Roman" w:cs="Times New Roman"/>
          <w:i/>
          <w:iCs/>
          <w:sz w:val="36"/>
          <w:szCs w:val="36"/>
        </w:rPr>
        <w:t xml:space="preserve">The Senior </w:t>
      </w:r>
      <w:r w:rsidR="00F84EE5" w:rsidRPr="00872A7D">
        <w:rPr>
          <w:rFonts w:ascii="Times New Roman" w:hAnsi="Times New Roman" w:cs="Times New Roman"/>
          <w:i/>
          <w:iCs/>
          <w:sz w:val="36"/>
          <w:szCs w:val="36"/>
        </w:rPr>
        <w:t>Exploration</w:t>
      </w:r>
      <w:r w:rsidRPr="00872A7D">
        <w:rPr>
          <w:rFonts w:ascii="Times New Roman" w:hAnsi="Times New Roman" w:cs="Times New Roman"/>
          <w:i/>
          <w:iCs/>
          <w:sz w:val="36"/>
          <w:szCs w:val="36"/>
        </w:rPr>
        <w:t>: A Guide to Sex and Intimacy in Later Life.</w:t>
      </w:r>
      <w:r w:rsidRPr="00872A7D">
        <w:rPr>
          <w:rFonts w:ascii="Times New Roman" w:hAnsi="Times New Roman" w:cs="Times New Roman"/>
          <w:sz w:val="36"/>
          <w:szCs w:val="36"/>
        </w:rPr>
        <w:t xml:space="preserve"> San Francisco: Grey Fox Press.</w:t>
      </w:r>
    </w:p>
    <w:sectPr w:rsidR="00D467F5" w:rsidRPr="0087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03"/>
    <w:multiLevelType w:val="multilevel"/>
    <w:tmpl w:val="B90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81560"/>
    <w:multiLevelType w:val="multilevel"/>
    <w:tmpl w:val="8010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B0C"/>
    <w:multiLevelType w:val="multilevel"/>
    <w:tmpl w:val="7F0C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B4A05"/>
    <w:multiLevelType w:val="multilevel"/>
    <w:tmpl w:val="ABB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C6731"/>
    <w:multiLevelType w:val="multilevel"/>
    <w:tmpl w:val="0DE4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4532F"/>
    <w:multiLevelType w:val="multilevel"/>
    <w:tmpl w:val="D53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A42C1"/>
    <w:multiLevelType w:val="multilevel"/>
    <w:tmpl w:val="6B8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E5E7A"/>
    <w:multiLevelType w:val="multilevel"/>
    <w:tmpl w:val="8F4A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E60D9"/>
    <w:multiLevelType w:val="multilevel"/>
    <w:tmpl w:val="85A0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283E"/>
    <w:multiLevelType w:val="multilevel"/>
    <w:tmpl w:val="38F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06F80"/>
    <w:multiLevelType w:val="multilevel"/>
    <w:tmpl w:val="AB90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20153"/>
    <w:multiLevelType w:val="multilevel"/>
    <w:tmpl w:val="071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53AD0"/>
    <w:multiLevelType w:val="multilevel"/>
    <w:tmpl w:val="E336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C77E2"/>
    <w:multiLevelType w:val="multilevel"/>
    <w:tmpl w:val="E1E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517B0"/>
    <w:multiLevelType w:val="multilevel"/>
    <w:tmpl w:val="DD6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D3A43"/>
    <w:multiLevelType w:val="multilevel"/>
    <w:tmpl w:val="C050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1EFC"/>
    <w:multiLevelType w:val="multilevel"/>
    <w:tmpl w:val="D6E2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9127D"/>
    <w:multiLevelType w:val="multilevel"/>
    <w:tmpl w:val="DE9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368A8"/>
    <w:multiLevelType w:val="multilevel"/>
    <w:tmpl w:val="6486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2A7283"/>
    <w:multiLevelType w:val="multilevel"/>
    <w:tmpl w:val="B15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D753F"/>
    <w:multiLevelType w:val="multilevel"/>
    <w:tmpl w:val="9976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12C3C"/>
    <w:multiLevelType w:val="multilevel"/>
    <w:tmpl w:val="7D0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30FD1"/>
    <w:multiLevelType w:val="multilevel"/>
    <w:tmpl w:val="DBB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64E63"/>
    <w:multiLevelType w:val="multilevel"/>
    <w:tmpl w:val="C31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424A3"/>
    <w:multiLevelType w:val="multilevel"/>
    <w:tmpl w:val="9096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37550"/>
    <w:multiLevelType w:val="multilevel"/>
    <w:tmpl w:val="7BA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B64BF"/>
    <w:multiLevelType w:val="multilevel"/>
    <w:tmpl w:val="972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132C4"/>
    <w:multiLevelType w:val="multilevel"/>
    <w:tmpl w:val="9E92E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15AD2"/>
    <w:multiLevelType w:val="multilevel"/>
    <w:tmpl w:val="C1E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52478"/>
    <w:multiLevelType w:val="multilevel"/>
    <w:tmpl w:val="917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04141"/>
    <w:multiLevelType w:val="multilevel"/>
    <w:tmpl w:val="14E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E4654"/>
    <w:multiLevelType w:val="multilevel"/>
    <w:tmpl w:val="8BF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02780"/>
    <w:multiLevelType w:val="multilevel"/>
    <w:tmpl w:val="02F6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375BCD"/>
    <w:multiLevelType w:val="multilevel"/>
    <w:tmpl w:val="32D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62673"/>
    <w:multiLevelType w:val="multilevel"/>
    <w:tmpl w:val="832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E64AB"/>
    <w:multiLevelType w:val="multilevel"/>
    <w:tmpl w:val="9BD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07A11"/>
    <w:multiLevelType w:val="multilevel"/>
    <w:tmpl w:val="71EA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12B6B"/>
    <w:multiLevelType w:val="multilevel"/>
    <w:tmpl w:val="A894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36DD5"/>
    <w:multiLevelType w:val="multilevel"/>
    <w:tmpl w:val="9300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D0F54"/>
    <w:multiLevelType w:val="multilevel"/>
    <w:tmpl w:val="6CF4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54A23"/>
    <w:multiLevelType w:val="multilevel"/>
    <w:tmpl w:val="BF2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A49D4"/>
    <w:multiLevelType w:val="multilevel"/>
    <w:tmpl w:val="2688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35792"/>
    <w:multiLevelType w:val="multilevel"/>
    <w:tmpl w:val="7AE8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317570">
    <w:abstractNumId w:val="29"/>
  </w:num>
  <w:num w:numId="2" w16cid:durableId="430127398">
    <w:abstractNumId w:val="19"/>
  </w:num>
  <w:num w:numId="3" w16cid:durableId="595139236">
    <w:abstractNumId w:val="13"/>
  </w:num>
  <w:num w:numId="4" w16cid:durableId="1435594845">
    <w:abstractNumId w:val="24"/>
  </w:num>
  <w:num w:numId="5" w16cid:durableId="1168445132">
    <w:abstractNumId w:val="36"/>
  </w:num>
  <w:num w:numId="6" w16cid:durableId="526868637">
    <w:abstractNumId w:val="31"/>
  </w:num>
  <w:num w:numId="7" w16cid:durableId="2130204429">
    <w:abstractNumId w:val="20"/>
  </w:num>
  <w:num w:numId="8" w16cid:durableId="2023972481">
    <w:abstractNumId w:val="30"/>
  </w:num>
  <w:num w:numId="9" w16cid:durableId="1050298604">
    <w:abstractNumId w:val="16"/>
  </w:num>
  <w:num w:numId="10" w16cid:durableId="1627853126">
    <w:abstractNumId w:val="25"/>
  </w:num>
  <w:num w:numId="11" w16cid:durableId="2126195926">
    <w:abstractNumId w:val="35"/>
  </w:num>
  <w:num w:numId="12" w16cid:durableId="1523124646">
    <w:abstractNumId w:val="17"/>
  </w:num>
  <w:num w:numId="13" w16cid:durableId="111827860">
    <w:abstractNumId w:val="27"/>
  </w:num>
  <w:num w:numId="14" w16cid:durableId="189152539">
    <w:abstractNumId w:val="2"/>
  </w:num>
  <w:num w:numId="15" w16cid:durableId="697241714">
    <w:abstractNumId w:val="32"/>
  </w:num>
  <w:num w:numId="16" w16cid:durableId="951981420">
    <w:abstractNumId w:val="8"/>
  </w:num>
  <w:num w:numId="17" w16cid:durableId="125973740">
    <w:abstractNumId w:val="1"/>
  </w:num>
  <w:num w:numId="18" w16cid:durableId="2129885429">
    <w:abstractNumId w:val="42"/>
  </w:num>
  <w:num w:numId="19" w16cid:durableId="1899827083">
    <w:abstractNumId w:val="9"/>
  </w:num>
  <w:num w:numId="20" w16cid:durableId="983194862">
    <w:abstractNumId w:val="0"/>
  </w:num>
  <w:num w:numId="21" w16cid:durableId="1126385390">
    <w:abstractNumId w:val="41"/>
  </w:num>
  <w:num w:numId="22" w16cid:durableId="1098328623">
    <w:abstractNumId w:val="34"/>
  </w:num>
  <w:num w:numId="23" w16cid:durableId="514733276">
    <w:abstractNumId w:val="7"/>
  </w:num>
  <w:num w:numId="24" w16cid:durableId="1488781972">
    <w:abstractNumId w:val="10"/>
  </w:num>
  <w:num w:numId="25" w16cid:durableId="417602370">
    <w:abstractNumId w:val="3"/>
  </w:num>
  <w:num w:numId="26" w16cid:durableId="2080975349">
    <w:abstractNumId w:val="37"/>
  </w:num>
  <w:num w:numId="27" w16cid:durableId="2127003094">
    <w:abstractNumId w:val="22"/>
  </w:num>
  <w:num w:numId="28" w16cid:durableId="1600868374">
    <w:abstractNumId w:val="23"/>
  </w:num>
  <w:num w:numId="29" w16cid:durableId="1816021141">
    <w:abstractNumId w:val="12"/>
  </w:num>
  <w:num w:numId="30" w16cid:durableId="1473792419">
    <w:abstractNumId w:val="18"/>
  </w:num>
  <w:num w:numId="31" w16cid:durableId="420181555">
    <w:abstractNumId w:val="15"/>
  </w:num>
  <w:num w:numId="32" w16cid:durableId="1750349919">
    <w:abstractNumId w:val="5"/>
  </w:num>
  <w:num w:numId="33" w16cid:durableId="1692489022">
    <w:abstractNumId w:val="33"/>
  </w:num>
  <w:num w:numId="34" w16cid:durableId="1336761321">
    <w:abstractNumId w:val="39"/>
  </w:num>
  <w:num w:numId="35" w16cid:durableId="1510019059">
    <w:abstractNumId w:val="4"/>
  </w:num>
  <w:num w:numId="36" w16cid:durableId="2076387511">
    <w:abstractNumId w:val="14"/>
  </w:num>
  <w:num w:numId="37" w16cid:durableId="1638953000">
    <w:abstractNumId w:val="21"/>
  </w:num>
  <w:num w:numId="38" w16cid:durableId="1641642753">
    <w:abstractNumId w:val="40"/>
  </w:num>
  <w:num w:numId="39" w16cid:durableId="1262378447">
    <w:abstractNumId w:val="11"/>
  </w:num>
  <w:num w:numId="40" w16cid:durableId="29889363">
    <w:abstractNumId w:val="38"/>
  </w:num>
  <w:num w:numId="41" w16cid:durableId="2098136874">
    <w:abstractNumId w:val="6"/>
  </w:num>
  <w:num w:numId="42" w16cid:durableId="1214150917">
    <w:abstractNumId w:val="26"/>
  </w:num>
  <w:num w:numId="43" w16cid:durableId="12840745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CC"/>
    <w:rsid w:val="00453489"/>
    <w:rsid w:val="00554866"/>
    <w:rsid w:val="00667E53"/>
    <w:rsid w:val="00872A7D"/>
    <w:rsid w:val="00D467F5"/>
    <w:rsid w:val="00DA4DCC"/>
    <w:rsid w:val="00EF1B9C"/>
    <w:rsid w:val="00F84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5EEA"/>
  <w15:chartTrackingRefBased/>
  <w15:docId w15:val="{E298BE06-DCA1-4B58-BEA9-7C9E58B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DCC"/>
    <w:rPr>
      <w:rFonts w:eastAsiaTheme="majorEastAsia" w:cstheme="majorBidi"/>
      <w:color w:val="272727" w:themeColor="text1" w:themeTint="D8"/>
    </w:rPr>
  </w:style>
  <w:style w:type="paragraph" w:styleId="Title">
    <w:name w:val="Title"/>
    <w:basedOn w:val="Normal"/>
    <w:next w:val="Normal"/>
    <w:link w:val="TitleChar"/>
    <w:uiPriority w:val="10"/>
    <w:qFormat/>
    <w:rsid w:val="00DA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DCC"/>
    <w:pPr>
      <w:spacing w:before="160"/>
      <w:jc w:val="center"/>
    </w:pPr>
    <w:rPr>
      <w:i/>
      <w:iCs/>
      <w:color w:val="404040" w:themeColor="text1" w:themeTint="BF"/>
    </w:rPr>
  </w:style>
  <w:style w:type="character" w:customStyle="1" w:styleId="QuoteChar">
    <w:name w:val="Quote Char"/>
    <w:basedOn w:val="DefaultParagraphFont"/>
    <w:link w:val="Quote"/>
    <w:uiPriority w:val="29"/>
    <w:rsid w:val="00DA4DCC"/>
    <w:rPr>
      <w:i/>
      <w:iCs/>
      <w:color w:val="404040" w:themeColor="text1" w:themeTint="BF"/>
    </w:rPr>
  </w:style>
  <w:style w:type="paragraph" w:styleId="ListParagraph">
    <w:name w:val="List Paragraph"/>
    <w:basedOn w:val="Normal"/>
    <w:uiPriority w:val="34"/>
    <w:qFormat/>
    <w:rsid w:val="00DA4DCC"/>
    <w:pPr>
      <w:ind w:left="720"/>
      <w:contextualSpacing/>
    </w:pPr>
  </w:style>
  <w:style w:type="character" w:styleId="IntenseEmphasis">
    <w:name w:val="Intense Emphasis"/>
    <w:basedOn w:val="DefaultParagraphFont"/>
    <w:uiPriority w:val="21"/>
    <w:qFormat/>
    <w:rsid w:val="00DA4DCC"/>
    <w:rPr>
      <w:i/>
      <w:iCs/>
      <w:color w:val="2F5496" w:themeColor="accent1" w:themeShade="BF"/>
    </w:rPr>
  </w:style>
  <w:style w:type="paragraph" w:styleId="IntenseQuote">
    <w:name w:val="Intense Quote"/>
    <w:basedOn w:val="Normal"/>
    <w:next w:val="Normal"/>
    <w:link w:val="IntenseQuoteChar"/>
    <w:uiPriority w:val="30"/>
    <w:qFormat/>
    <w:rsid w:val="00DA4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DCC"/>
    <w:rPr>
      <w:i/>
      <w:iCs/>
      <w:color w:val="2F5496" w:themeColor="accent1" w:themeShade="BF"/>
    </w:rPr>
  </w:style>
  <w:style w:type="character" w:styleId="IntenseReference">
    <w:name w:val="Intense Reference"/>
    <w:basedOn w:val="DefaultParagraphFont"/>
    <w:uiPriority w:val="32"/>
    <w:qFormat/>
    <w:rsid w:val="00DA4DCC"/>
    <w:rPr>
      <w:b/>
      <w:bCs/>
      <w:smallCaps/>
      <w:color w:val="2F5496" w:themeColor="accent1" w:themeShade="BF"/>
      <w:spacing w:val="5"/>
    </w:rPr>
  </w:style>
  <w:style w:type="character" w:styleId="Hyperlink">
    <w:name w:val="Hyperlink"/>
    <w:basedOn w:val="DefaultParagraphFont"/>
    <w:uiPriority w:val="99"/>
    <w:unhideWhenUsed/>
    <w:rsid w:val="00D467F5"/>
    <w:rPr>
      <w:color w:val="0563C1" w:themeColor="hyperlink"/>
      <w:u w:val="single"/>
    </w:rPr>
  </w:style>
  <w:style w:type="character" w:styleId="UnresolvedMention">
    <w:name w:val="Unresolved Mention"/>
    <w:basedOn w:val="DefaultParagraphFont"/>
    <w:uiPriority w:val="99"/>
    <w:semiHidden/>
    <w:unhideWhenUsed/>
    <w:rsid w:val="00D46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2706">
      <w:bodyDiv w:val="1"/>
      <w:marLeft w:val="0"/>
      <w:marRight w:val="0"/>
      <w:marTop w:val="0"/>
      <w:marBottom w:val="0"/>
      <w:divBdr>
        <w:top w:val="none" w:sz="0" w:space="0" w:color="auto"/>
        <w:left w:val="none" w:sz="0" w:space="0" w:color="auto"/>
        <w:bottom w:val="none" w:sz="0" w:space="0" w:color="auto"/>
        <w:right w:val="none" w:sz="0" w:space="0" w:color="auto"/>
      </w:divBdr>
    </w:div>
    <w:div w:id="117376395">
      <w:bodyDiv w:val="1"/>
      <w:marLeft w:val="0"/>
      <w:marRight w:val="0"/>
      <w:marTop w:val="0"/>
      <w:marBottom w:val="0"/>
      <w:divBdr>
        <w:top w:val="none" w:sz="0" w:space="0" w:color="auto"/>
        <w:left w:val="none" w:sz="0" w:space="0" w:color="auto"/>
        <w:bottom w:val="none" w:sz="0" w:space="0" w:color="auto"/>
        <w:right w:val="none" w:sz="0" w:space="0" w:color="auto"/>
      </w:divBdr>
    </w:div>
    <w:div w:id="574360075">
      <w:bodyDiv w:val="1"/>
      <w:marLeft w:val="0"/>
      <w:marRight w:val="0"/>
      <w:marTop w:val="0"/>
      <w:marBottom w:val="0"/>
      <w:divBdr>
        <w:top w:val="none" w:sz="0" w:space="0" w:color="auto"/>
        <w:left w:val="none" w:sz="0" w:space="0" w:color="auto"/>
        <w:bottom w:val="none" w:sz="0" w:space="0" w:color="auto"/>
        <w:right w:val="none" w:sz="0" w:space="0" w:color="auto"/>
      </w:divBdr>
    </w:div>
    <w:div w:id="711079022">
      <w:bodyDiv w:val="1"/>
      <w:marLeft w:val="0"/>
      <w:marRight w:val="0"/>
      <w:marTop w:val="0"/>
      <w:marBottom w:val="0"/>
      <w:divBdr>
        <w:top w:val="none" w:sz="0" w:space="0" w:color="auto"/>
        <w:left w:val="none" w:sz="0" w:space="0" w:color="auto"/>
        <w:bottom w:val="none" w:sz="0" w:space="0" w:color="auto"/>
        <w:right w:val="none" w:sz="0" w:space="0" w:color="auto"/>
      </w:divBdr>
    </w:div>
    <w:div w:id="1096753030">
      <w:bodyDiv w:val="1"/>
      <w:marLeft w:val="0"/>
      <w:marRight w:val="0"/>
      <w:marTop w:val="0"/>
      <w:marBottom w:val="0"/>
      <w:divBdr>
        <w:top w:val="none" w:sz="0" w:space="0" w:color="auto"/>
        <w:left w:val="none" w:sz="0" w:space="0" w:color="auto"/>
        <w:bottom w:val="none" w:sz="0" w:space="0" w:color="auto"/>
        <w:right w:val="none" w:sz="0" w:space="0" w:color="auto"/>
      </w:divBdr>
      <w:divsChild>
        <w:div w:id="698966284">
          <w:marLeft w:val="0"/>
          <w:marRight w:val="0"/>
          <w:marTop w:val="0"/>
          <w:marBottom w:val="0"/>
          <w:divBdr>
            <w:top w:val="none" w:sz="0" w:space="0" w:color="auto"/>
            <w:left w:val="none" w:sz="0" w:space="0" w:color="auto"/>
            <w:bottom w:val="none" w:sz="0" w:space="0" w:color="auto"/>
            <w:right w:val="none" w:sz="0" w:space="0" w:color="auto"/>
          </w:divBdr>
        </w:div>
        <w:div w:id="918709088">
          <w:marLeft w:val="0"/>
          <w:marRight w:val="0"/>
          <w:marTop w:val="0"/>
          <w:marBottom w:val="0"/>
          <w:divBdr>
            <w:top w:val="none" w:sz="0" w:space="0" w:color="auto"/>
            <w:left w:val="none" w:sz="0" w:space="0" w:color="auto"/>
            <w:bottom w:val="none" w:sz="0" w:space="0" w:color="auto"/>
            <w:right w:val="none" w:sz="0" w:space="0" w:color="auto"/>
          </w:divBdr>
        </w:div>
        <w:div w:id="1151940784">
          <w:marLeft w:val="0"/>
          <w:marRight w:val="0"/>
          <w:marTop w:val="0"/>
          <w:marBottom w:val="0"/>
          <w:divBdr>
            <w:top w:val="none" w:sz="0" w:space="0" w:color="auto"/>
            <w:left w:val="none" w:sz="0" w:space="0" w:color="auto"/>
            <w:bottom w:val="none" w:sz="0" w:space="0" w:color="auto"/>
            <w:right w:val="none" w:sz="0" w:space="0" w:color="auto"/>
          </w:divBdr>
        </w:div>
        <w:div w:id="190262191">
          <w:marLeft w:val="0"/>
          <w:marRight w:val="0"/>
          <w:marTop w:val="0"/>
          <w:marBottom w:val="0"/>
          <w:divBdr>
            <w:top w:val="none" w:sz="0" w:space="0" w:color="auto"/>
            <w:left w:val="none" w:sz="0" w:space="0" w:color="auto"/>
            <w:bottom w:val="none" w:sz="0" w:space="0" w:color="auto"/>
            <w:right w:val="none" w:sz="0" w:space="0" w:color="auto"/>
          </w:divBdr>
        </w:div>
        <w:div w:id="1658536105">
          <w:marLeft w:val="0"/>
          <w:marRight w:val="0"/>
          <w:marTop w:val="0"/>
          <w:marBottom w:val="0"/>
          <w:divBdr>
            <w:top w:val="none" w:sz="0" w:space="0" w:color="auto"/>
            <w:left w:val="none" w:sz="0" w:space="0" w:color="auto"/>
            <w:bottom w:val="none" w:sz="0" w:space="0" w:color="auto"/>
            <w:right w:val="none" w:sz="0" w:space="0" w:color="auto"/>
          </w:divBdr>
        </w:div>
      </w:divsChild>
    </w:div>
    <w:div w:id="1150290641">
      <w:bodyDiv w:val="1"/>
      <w:marLeft w:val="0"/>
      <w:marRight w:val="0"/>
      <w:marTop w:val="0"/>
      <w:marBottom w:val="0"/>
      <w:divBdr>
        <w:top w:val="none" w:sz="0" w:space="0" w:color="auto"/>
        <w:left w:val="none" w:sz="0" w:space="0" w:color="auto"/>
        <w:bottom w:val="none" w:sz="0" w:space="0" w:color="auto"/>
        <w:right w:val="none" w:sz="0" w:space="0" w:color="auto"/>
      </w:divBdr>
      <w:divsChild>
        <w:div w:id="1996059980">
          <w:marLeft w:val="0"/>
          <w:marRight w:val="0"/>
          <w:marTop w:val="0"/>
          <w:marBottom w:val="0"/>
          <w:divBdr>
            <w:top w:val="none" w:sz="0" w:space="0" w:color="auto"/>
            <w:left w:val="none" w:sz="0" w:space="0" w:color="auto"/>
            <w:bottom w:val="none" w:sz="0" w:space="0" w:color="auto"/>
            <w:right w:val="none" w:sz="0" w:space="0" w:color="auto"/>
          </w:divBdr>
        </w:div>
        <w:div w:id="1781025433">
          <w:marLeft w:val="0"/>
          <w:marRight w:val="0"/>
          <w:marTop w:val="0"/>
          <w:marBottom w:val="0"/>
          <w:divBdr>
            <w:top w:val="none" w:sz="0" w:space="0" w:color="auto"/>
            <w:left w:val="none" w:sz="0" w:space="0" w:color="auto"/>
            <w:bottom w:val="none" w:sz="0" w:space="0" w:color="auto"/>
            <w:right w:val="none" w:sz="0" w:space="0" w:color="auto"/>
          </w:divBdr>
        </w:div>
        <w:div w:id="893345939">
          <w:marLeft w:val="0"/>
          <w:marRight w:val="0"/>
          <w:marTop w:val="0"/>
          <w:marBottom w:val="0"/>
          <w:divBdr>
            <w:top w:val="none" w:sz="0" w:space="0" w:color="auto"/>
            <w:left w:val="none" w:sz="0" w:space="0" w:color="auto"/>
            <w:bottom w:val="none" w:sz="0" w:space="0" w:color="auto"/>
            <w:right w:val="none" w:sz="0" w:space="0" w:color="auto"/>
          </w:divBdr>
        </w:div>
        <w:div w:id="352612211">
          <w:marLeft w:val="0"/>
          <w:marRight w:val="0"/>
          <w:marTop w:val="0"/>
          <w:marBottom w:val="0"/>
          <w:divBdr>
            <w:top w:val="none" w:sz="0" w:space="0" w:color="auto"/>
            <w:left w:val="none" w:sz="0" w:space="0" w:color="auto"/>
            <w:bottom w:val="none" w:sz="0" w:space="0" w:color="auto"/>
            <w:right w:val="none" w:sz="0" w:space="0" w:color="auto"/>
          </w:divBdr>
        </w:div>
        <w:div w:id="838932106">
          <w:marLeft w:val="0"/>
          <w:marRight w:val="0"/>
          <w:marTop w:val="0"/>
          <w:marBottom w:val="0"/>
          <w:divBdr>
            <w:top w:val="none" w:sz="0" w:space="0" w:color="auto"/>
            <w:left w:val="none" w:sz="0" w:space="0" w:color="auto"/>
            <w:bottom w:val="none" w:sz="0" w:space="0" w:color="auto"/>
            <w:right w:val="none" w:sz="0" w:space="0" w:color="auto"/>
          </w:divBdr>
        </w:div>
        <w:div w:id="1819767435">
          <w:marLeft w:val="0"/>
          <w:marRight w:val="0"/>
          <w:marTop w:val="0"/>
          <w:marBottom w:val="0"/>
          <w:divBdr>
            <w:top w:val="none" w:sz="0" w:space="0" w:color="auto"/>
            <w:left w:val="none" w:sz="0" w:space="0" w:color="auto"/>
            <w:bottom w:val="none" w:sz="0" w:space="0" w:color="auto"/>
            <w:right w:val="none" w:sz="0" w:space="0" w:color="auto"/>
          </w:divBdr>
        </w:div>
        <w:div w:id="547449268">
          <w:marLeft w:val="0"/>
          <w:marRight w:val="0"/>
          <w:marTop w:val="0"/>
          <w:marBottom w:val="0"/>
          <w:divBdr>
            <w:top w:val="none" w:sz="0" w:space="0" w:color="auto"/>
            <w:left w:val="none" w:sz="0" w:space="0" w:color="auto"/>
            <w:bottom w:val="none" w:sz="0" w:space="0" w:color="auto"/>
            <w:right w:val="none" w:sz="0" w:space="0" w:color="auto"/>
          </w:divBdr>
        </w:div>
      </w:divsChild>
    </w:div>
    <w:div w:id="1492211687">
      <w:bodyDiv w:val="1"/>
      <w:marLeft w:val="0"/>
      <w:marRight w:val="0"/>
      <w:marTop w:val="0"/>
      <w:marBottom w:val="0"/>
      <w:divBdr>
        <w:top w:val="none" w:sz="0" w:space="0" w:color="auto"/>
        <w:left w:val="none" w:sz="0" w:space="0" w:color="auto"/>
        <w:bottom w:val="none" w:sz="0" w:space="0" w:color="auto"/>
        <w:right w:val="none" w:sz="0" w:space="0" w:color="auto"/>
      </w:divBdr>
    </w:div>
    <w:div w:id="1502283193">
      <w:bodyDiv w:val="1"/>
      <w:marLeft w:val="0"/>
      <w:marRight w:val="0"/>
      <w:marTop w:val="0"/>
      <w:marBottom w:val="0"/>
      <w:divBdr>
        <w:top w:val="none" w:sz="0" w:space="0" w:color="auto"/>
        <w:left w:val="none" w:sz="0" w:space="0" w:color="auto"/>
        <w:bottom w:val="none" w:sz="0" w:space="0" w:color="auto"/>
        <w:right w:val="none" w:sz="0" w:space="0" w:color="auto"/>
      </w:divBdr>
      <w:divsChild>
        <w:div w:id="749892796">
          <w:marLeft w:val="0"/>
          <w:marRight w:val="0"/>
          <w:marTop w:val="0"/>
          <w:marBottom w:val="0"/>
          <w:divBdr>
            <w:top w:val="none" w:sz="0" w:space="0" w:color="auto"/>
            <w:left w:val="none" w:sz="0" w:space="0" w:color="auto"/>
            <w:bottom w:val="none" w:sz="0" w:space="0" w:color="auto"/>
            <w:right w:val="none" w:sz="0" w:space="0" w:color="auto"/>
          </w:divBdr>
        </w:div>
        <w:div w:id="1824464417">
          <w:marLeft w:val="0"/>
          <w:marRight w:val="0"/>
          <w:marTop w:val="0"/>
          <w:marBottom w:val="0"/>
          <w:divBdr>
            <w:top w:val="none" w:sz="0" w:space="0" w:color="auto"/>
            <w:left w:val="none" w:sz="0" w:space="0" w:color="auto"/>
            <w:bottom w:val="none" w:sz="0" w:space="0" w:color="auto"/>
            <w:right w:val="none" w:sz="0" w:space="0" w:color="auto"/>
          </w:divBdr>
        </w:div>
        <w:div w:id="128060239">
          <w:marLeft w:val="0"/>
          <w:marRight w:val="0"/>
          <w:marTop w:val="0"/>
          <w:marBottom w:val="0"/>
          <w:divBdr>
            <w:top w:val="none" w:sz="0" w:space="0" w:color="auto"/>
            <w:left w:val="none" w:sz="0" w:space="0" w:color="auto"/>
            <w:bottom w:val="none" w:sz="0" w:space="0" w:color="auto"/>
            <w:right w:val="none" w:sz="0" w:space="0" w:color="auto"/>
          </w:divBdr>
        </w:div>
        <w:div w:id="347099040">
          <w:marLeft w:val="0"/>
          <w:marRight w:val="0"/>
          <w:marTop w:val="0"/>
          <w:marBottom w:val="0"/>
          <w:divBdr>
            <w:top w:val="none" w:sz="0" w:space="0" w:color="auto"/>
            <w:left w:val="none" w:sz="0" w:space="0" w:color="auto"/>
            <w:bottom w:val="none" w:sz="0" w:space="0" w:color="auto"/>
            <w:right w:val="none" w:sz="0" w:space="0" w:color="auto"/>
          </w:divBdr>
        </w:div>
        <w:div w:id="1447847812">
          <w:marLeft w:val="0"/>
          <w:marRight w:val="0"/>
          <w:marTop w:val="0"/>
          <w:marBottom w:val="0"/>
          <w:divBdr>
            <w:top w:val="none" w:sz="0" w:space="0" w:color="auto"/>
            <w:left w:val="none" w:sz="0" w:space="0" w:color="auto"/>
            <w:bottom w:val="none" w:sz="0" w:space="0" w:color="auto"/>
            <w:right w:val="none" w:sz="0" w:space="0" w:color="auto"/>
          </w:divBdr>
        </w:div>
      </w:divsChild>
    </w:div>
    <w:div w:id="1795320579">
      <w:bodyDiv w:val="1"/>
      <w:marLeft w:val="0"/>
      <w:marRight w:val="0"/>
      <w:marTop w:val="0"/>
      <w:marBottom w:val="0"/>
      <w:divBdr>
        <w:top w:val="none" w:sz="0" w:space="0" w:color="auto"/>
        <w:left w:val="none" w:sz="0" w:space="0" w:color="auto"/>
        <w:bottom w:val="none" w:sz="0" w:space="0" w:color="auto"/>
        <w:right w:val="none" w:sz="0" w:space="0" w:color="auto"/>
      </w:divBdr>
      <w:divsChild>
        <w:div w:id="114638271">
          <w:marLeft w:val="0"/>
          <w:marRight w:val="0"/>
          <w:marTop w:val="0"/>
          <w:marBottom w:val="0"/>
          <w:divBdr>
            <w:top w:val="none" w:sz="0" w:space="0" w:color="auto"/>
            <w:left w:val="none" w:sz="0" w:space="0" w:color="auto"/>
            <w:bottom w:val="none" w:sz="0" w:space="0" w:color="auto"/>
            <w:right w:val="none" w:sz="0" w:space="0" w:color="auto"/>
          </w:divBdr>
        </w:div>
        <w:div w:id="1337459518">
          <w:marLeft w:val="0"/>
          <w:marRight w:val="0"/>
          <w:marTop w:val="0"/>
          <w:marBottom w:val="0"/>
          <w:divBdr>
            <w:top w:val="none" w:sz="0" w:space="0" w:color="auto"/>
            <w:left w:val="none" w:sz="0" w:space="0" w:color="auto"/>
            <w:bottom w:val="none" w:sz="0" w:space="0" w:color="auto"/>
            <w:right w:val="none" w:sz="0" w:space="0" w:color="auto"/>
          </w:divBdr>
        </w:div>
        <w:div w:id="1295869097">
          <w:marLeft w:val="0"/>
          <w:marRight w:val="0"/>
          <w:marTop w:val="0"/>
          <w:marBottom w:val="0"/>
          <w:divBdr>
            <w:top w:val="none" w:sz="0" w:space="0" w:color="auto"/>
            <w:left w:val="none" w:sz="0" w:space="0" w:color="auto"/>
            <w:bottom w:val="none" w:sz="0" w:space="0" w:color="auto"/>
            <w:right w:val="none" w:sz="0" w:space="0" w:color="auto"/>
          </w:divBdr>
        </w:div>
        <w:div w:id="184757486">
          <w:marLeft w:val="0"/>
          <w:marRight w:val="0"/>
          <w:marTop w:val="0"/>
          <w:marBottom w:val="0"/>
          <w:divBdr>
            <w:top w:val="none" w:sz="0" w:space="0" w:color="auto"/>
            <w:left w:val="none" w:sz="0" w:space="0" w:color="auto"/>
            <w:bottom w:val="none" w:sz="0" w:space="0" w:color="auto"/>
            <w:right w:val="none" w:sz="0" w:space="0" w:color="auto"/>
          </w:divBdr>
        </w:div>
        <w:div w:id="1629118068">
          <w:marLeft w:val="0"/>
          <w:marRight w:val="0"/>
          <w:marTop w:val="0"/>
          <w:marBottom w:val="0"/>
          <w:divBdr>
            <w:top w:val="none" w:sz="0" w:space="0" w:color="auto"/>
            <w:left w:val="none" w:sz="0" w:space="0" w:color="auto"/>
            <w:bottom w:val="none" w:sz="0" w:space="0" w:color="auto"/>
            <w:right w:val="none" w:sz="0" w:space="0" w:color="auto"/>
          </w:divBdr>
        </w:div>
        <w:div w:id="1091119939">
          <w:marLeft w:val="0"/>
          <w:marRight w:val="0"/>
          <w:marTop w:val="0"/>
          <w:marBottom w:val="0"/>
          <w:divBdr>
            <w:top w:val="none" w:sz="0" w:space="0" w:color="auto"/>
            <w:left w:val="none" w:sz="0" w:space="0" w:color="auto"/>
            <w:bottom w:val="none" w:sz="0" w:space="0" w:color="auto"/>
            <w:right w:val="none" w:sz="0" w:space="0" w:color="auto"/>
          </w:divBdr>
        </w:div>
        <w:div w:id="428090780">
          <w:marLeft w:val="0"/>
          <w:marRight w:val="0"/>
          <w:marTop w:val="0"/>
          <w:marBottom w:val="0"/>
          <w:divBdr>
            <w:top w:val="none" w:sz="0" w:space="0" w:color="auto"/>
            <w:left w:val="none" w:sz="0" w:space="0" w:color="auto"/>
            <w:bottom w:val="none" w:sz="0" w:space="0" w:color="auto"/>
            <w:right w:val="none" w:sz="0" w:space="0" w:color="auto"/>
          </w:divBdr>
        </w:div>
      </w:divsChild>
    </w:div>
    <w:div w:id="20563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ron.org" TargetMode="External"/><Relationship Id="rId5" Type="http://schemas.openxmlformats.org/officeDocument/2006/relationships/hyperlink" Target="https://www.aar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2025-03-20T00:42:00Z</dcterms:created>
  <dcterms:modified xsi:type="dcterms:W3CDTF">2026-01-04T06:00:00Z</dcterms:modified>
</cp:coreProperties>
</file>