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CED4" w14:textId="77777777" w:rsidR="00050881" w:rsidRPr="00050881" w:rsidRDefault="00050881" w:rsidP="00050881">
      <w:pPr>
        <w:rPr>
          <w:b/>
          <w:bCs/>
        </w:rPr>
      </w:pPr>
      <w:r w:rsidRPr="00050881">
        <w:rPr>
          <w:b/>
          <w:bCs/>
        </w:rPr>
        <w:t>CAMPANIA</w:t>
      </w:r>
    </w:p>
    <w:p w14:paraId="77A853CF" w14:textId="77777777" w:rsidR="00050881" w:rsidRPr="00050881" w:rsidRDefault="00050881" w:rsidP="00050881">
      <w:pPr>
        <w:rPr>
          <w:b/>
          <w:bCs/>
        </w:rPr>
      </w:pPr>
      <w:r w:rsidRPr="00050881">
        <w:rPr>
          <w:b/>
          <w:bCs/>
        </w:rPr>
        <w:t>Region Overview</w:t>
      </w:r>
    </w:p>
    <w:p w14:paraId="0FA42045" w14:textId="77777777" w:rsidR="00050881" w:rsidRPr="00050881" w:rsidRDefault="00050881" w:rsidP="00050881">
      <w:r w:rsidRPr="00050881">
        <w:t>Campania is more widely recognized for Mount Vesuvius than its winemaking, though significant wine production occurs throughout the region. Located in southern Italy, it features volcanic soils that contribute distinctive minerality to its wines. The region has been experiencing a quality renaissance, particularly with its indigenous varieties.</w:t>
      </w:r>
    </w:p>
    <w:p w14:paraId="2676A081" w14:textId="77777777" w:rsidR="00050881" w:rsidRPr="00050881" w:rsidRDefault="00050881" w:rsidP="00050881">
      <w:pPr>
        <w:rPr>
          <w:b/>
          <w:bCs/>
        </w:rPr>
      </w:pPr>
      <w:r w:rsidRPr="00050881">
        <w:rPr>
          <w:b/>
          <w:bCs/>
        </w:rPr>
        <w:t>Key Grape Varieties</w:t>
      </w:r>
    </w:p>
    <w:p w14:paraId="2FF83980" w14:textId="77777777" w:rsidR="00050881" w:rsidRPr="00050881" w:rsidRDefault="00050881" w:rsidP="00050881">
      <w:r w:rsidRPr="00050881">
        <w:rPr>
          <w:b/>
          <w:bCs/>
        </w:rPr>
        <w:t>Primary Red Varieties</w:t>
      </w:r>
      <w:r w:rsidRPr="00050881">
        <w:t>:</w:t>
      </w:r>
    </w:p>
    <w:p w14:paraId="60C2A5A9" w14:textId="77777777" w:rsidR="00050881" w:rsidRPr="00050881" w:rsidRDefault="00050881" w:rsidP="00050881">
      <w:pPr>
        <w:numPr>
          <w:ilvl w:val="0"/>
          <w:numId w:val="1"/>
        </w:numPr>
      </w:pPr>
      <w:r w:rsidRPr="00050881">
        <w:rPr>
          <w:b/>
          <w:bCs/>
        </w:rPr>
        <w:t>Aglianico</w:t>
      </w:r>
      <w:r w:rsidRPr="00050881">
        <w:t>: The region's premier red variety, producing tannic, long-lived wines</w:t>
      </w:r>
    </w:p>
    <w:p w14:paraId="265A2D25" w14:textId="77777777" w:rsidR="00050881" w:rsidRPr="00050881" w:rsidRDefault="00050881" w:rsidP="00050881">
      <w:pPr>
        <w:numPr>
          <w:ilvl w:val="0"/>
          <w:numId w:val="1"/>
        </w:numPr>
      </w:pPr>
      <w:proofErr w:type="spellStart"/>
      <w:r w:rsidRPr="00050881">
        <w:rPr>
          <w:b/>
          <w:bCs/>
        </w:rPr>
        <w:t>Piedirosso</w:t>
      </w:r>
      <w:proofErr w:type="spellEnd"/>
      <w:r w:rsidRPr="00050881">
        <w:t>: Important supporting variety in regional blends</w:t>
      </w:r>
    </w:p>
    <w:p w14:paraId="6C82BBBB" w14:textId="77777777" w:rsidR="00050881" w:rsidRPr="00050881" w:rsidRDefault="00050881" w:rsidP="00050881">
      <w:r w:rsidRPr="00050881">
        <w:rPr>
          <w:b/>
          <w:bCs/>
        </w:rPr>
        <w:t>Primary White Varieties</w:t>
      </w:r>
      <w:r w:rsidRPr="00050881">
        <w:t>:</w:t>
      </w:r>
    </w:p>
    <w:p w14:paraId="6E68E639" w14:textId="77777777" w:rsidR="00050881" w:rsidRPr="00050881" w:rsidRDefault="00050881" w:rsidP="00050881">
      <w:pPr>
        <w:numPr>
          <w:ilvl w:val="0"/>
          <w:numId w:val="2"/>
        </w:numPr>
      </w:pPr>
      <w:proofErr w:type="spellStart"/>
      <w:r w:rsidRPr="00050881">
        <w:rPr>
          <w:b/>
          <w:bCs/>
        </w:rPr>
        <w:t>Falanghina</w:t>
      </w:r>
      <w:proofErr w:type="spellEnd"/>
      <w:r w:rsidRPr="00050881">
        <w:t>: Considered the best white wine grape of the region</w:t>
      </w:r>
    </w:p>
    <w:p w14:paraId="49550B1F" w14:textId="77777777" w:rsidR="00050881" w:rsidRPr="00050881" w:rsidRDefault="00050881" w:rsidP="00050881">
      <w:pPr>
        <w:numPr>
          <w:ilvl w:val="0"/>
          <w:numId w:val="2"/>
        </w:numPr>
      </w:pPr>
      <w:r w:rsidRPr="00050881">
        <w:rPr>
          <w:b/>
          <w:bCs/>
        </w:rPr>
        <w:t>Fiano</w:t>
      </w:r>
      <w:r w:rsidRPr="00050881">
        <w:t>: Produces distinctive aromatic whites</w:t>
      </w:r>
    </w:p>
    <w:p w14:paraId="5E988C30" w14:textId="77777777" w:rsidR="00050881" w:rsidRPr="00050881" w:rsidRDefault="00050881" w:rsidP="00050881">
      <w:pPr>
        <w:numPr>
          <w:ilvl w:val="0"/>
          <w:numId w:val="2"/>
        </w:numPr>
      </w:pPr>
      <w:r w:rsidRPr="00050881">
        <w:rPr>
          <w:b/>
          <w:bCs/>
        </w:rPr>
        <w:t>Greco</w:t>
      </w:r>
      <w:r w:rsidRPr="00050881">
        <w:t>: Creates structured mineral-driven whites</w:t>
      </w:r>
    </w:p>
    <w:p w14:paraId="1D46E4CE" w14:textId="77777777" w:rsidR="00050881" w:rsidRPr="00050881" w:rsidRDefault="00050881" w:rsidP="00050881">
      <w:pPr>
        <w:numPr>
          <w:ilvl w:val="0"/>
          <w:numId w:val="2"/>
        </w:numPr>
      </w:pPr>
      <w:r w:rsidRPr="00050881">
        <w:rPr>
          <w:b/>
          <w:bCs/>
        </w:rPr>
        <w:t>Coda di Volpe</w:t>
      </w:r>
      <w:r w:rsidRPr="00050881">
        <w:t xml:space="preserve"> and </w:t>
      </w:r>
      <w:proofErr w:type="spellStart"/>
      <w:r w:rsidRPr="00050881">
        <w:rPr>
          <w:b/>
          <w:bCs/>
        </w:rPr>
        <w:t>Caprettone</w:t>
      </w:r>
      <w:proofErr w:type="spellEnd"/>
      <w:r w:rsidRPr="00050881">
        <w:t>: Important supporting varieties</w:t>
      </w:r>
    </w:p>
    <w:p w14:paraId="43C484BC" w14:textId="77777777" w:rsidR="00050881" w:rsidRPr="00050881" w:rsidRDefault="00050881" w:rsidP="00050881">
      <w:pPr>
        <w:rPr>
          <w:b/>
          <w:bCs/>
        </w:rPr>
      </w:pPr>
      <w:r w:rsidRPr="00050881">
        <w:rPr>
          <w:b/>
          <w:bCs/>
        </w:rPr>
        <w:t>Notable Appellations</w:t>
      </w:r>
    </w:p>
    <w:p w14:paraId="6524E83A" w14:textId="77777777" w:rsidR="00050881" w:rsidRPr="00050881" w:rsidRDefault="00050881" w:rsidP="00050881">
      <w:pPr>
        <w:rPr>
          <w:b/>
          <w:bCs/>
        </w:rPr>
      </w:pPr>
      <w:r w:rsidRPr="00050881">
        <w:rPr>
          <w:b/>
          <w:bCs/>
        </w:rPr>
        <w:t>Taurasi DOCG</w:t>
      </w:r>
    </w:p>
    <w:p w14:paraId="53EDE14B" w14:textId="77777777" w:rsidR="00050881" w:rsidRPr="00050881" w:rsidRDefault="00050881" w:rsidP="00050881">
      <w:pPr>
        <w:numPr>
          <w:ilvl w:val="0"/>
          <w:numId w:val="3"/>
        </w:numPr>
      </w:pPr>
      <w:r w:rsidRPr="00050881">
        <w:rPr>
          <w:b/>
          <w:bCs/>
        </w:rPr>
        <w:t>Composition</w:t>
      </w:r>
      <w:r w:rsidRPr="00050881">
        <w:t>: Minimum 85% Aglianico</w:t>
      </w:r>
    </w:p>
    <w:p w14:paraId="67E8ED7C" w14:textId="77777777" w:rsidR="00050881" w:rsidRPr="00050881" w:rsidRDefault="00050881" w:rsidP="00050881">
      <w:pPr>
        <w:numPr>
          <w:ilvl w:val="0"/>
          <w:numId w:val="3"/>
        </w:numPr>
      </w:pPr>
      <w:r w:rsidRPr="00050881">
        <w:rPr>
          <w:b/>
          <w:bCs/>
        </w:rPr>
        <w:t>Aging</w:t>
      </w:r>
      <w:r w:rsidRPr="00050881">
        <w:t>: Minimum 3 years total, including 1 year in wood</w:t>
      </w:r>
    </w:p>
    <w:p w14:paraId="6DEB95D2" w14:textId="77777777" w:rsidR="00050881" w:rsidRPr="00050881" w:rsidRDefault="00050881" w:rsidP="00050881">
      <w:pPr>
        <w:numPr>
          <w:ilvl w:val="0"/>
          <w:numId w:val="3"/>
        </w:numPr>
      </w:pPr>
      <w:r w:rsidRPr="00050881">
        <w:rPr>
          <w:b/>
          <w:bCs/>
        </w:rPr>
        <w:t>Alcohol</w:t>
      </w:r>
      <w:r w:rsidRPr="00050881">
        <w:t>: Minimum 12% ABV; 12.5% for Riserva</w:t>
      </w:r>
    </w:p>
    <w:p w14:paraId="01DF8916" w14:textId="77777777" w:rsidR="00050881" w:rsidRPr="00050881" w:rsidRDefault="00050881" w:rsidP="00050881">
      <w:pPr>
        <w:numPr>
          <w:ilvl w:val="0"/>
          <w:numId w:val="3"/>
        </w:numPr>
      </w:pPr>
      <w:r w:rsidRPr="00050881">
        <w:rPr>
          <w:b/>
          <w:bCs/>
        </w:rPr>
        <w:t>Riserva Requirements</w:t>
      </w:r>
      <w:r w:rsidRPr="00050881">
        <w:t>: Additional year of aging (4 years total), including 18 months in wood</w:t>
      </w:r>
    </w:p>
    <w:p w14:paraId="779AC4C4" w14:textId="77777777" w:rsidR="00050881" w:rsidRPr="00050881" w:rsidRDefault="00050881" w:rsidP="00050881">
      <w:pPr>
        <w:numPr>
          <w:ilvl w:val="0"/>
          <w:numId w:val="3"/>
        </w:numPr>
      </w:pPr>
      <w:r w:rsidRPr="00050881">
        <w:rPr>
          <w:b/>
          <w:bCs/>
        </w:rPr>
        <w:t>Distinction</w:t>
      </w:r>
      <w:r w:rsidRPr="00050881">
        <w:t>: Known as the "Barolo of the south" for its structure and aging potential</w:t>
      </w:r>
    </w:p>
    <w:p w14:paraId="077B80C1" w14:textId="77777777" w:rsidR="00050881" w:rsidRPr="00050881" w:rsidRDefault="00050881" w:rsidP="00050881">
      <w:pPr>
        <w:rPr>
          <w:b/>
          <w:bCs/>
        </w:rPr>
      </w:pPr>
      <w:r w:rsidRPr="00050881">
        <w:rPr>
          <w:b/>
          <w:bCs/>
        </w:rPr>
        <w:t>Fiano di Avellino DOCG</w:t>
      </w:r>
    </w:p>
    <w:p w14:paraId="280725BC" w14:textId="77777777" w:rsidR="00050881" w:rsidRPr="00050881" w:rsidRDefault="00050881" w:rsidP="00050881">
      <w:pPr>
        <w:numPr>
          <w:ilvl w:val="0"/>
          <w:numId w:val="4"/>
        </w:numPr>
      </w:pPr>
      <w:r w:rsidRPr="00050881">
        <w:rPr>
          <w:b/>
          <w:bCs/>
        </w:rPr>
        <w:t>Composition</w:t>
      </w:r>
      <w:r w:rsidRPr="00050881">
        <w:t>: Predominantly Fiano (up to 85%), with up to 15% Trebbiano, Greco, and Coda di Volpe permitted</w:t>
      </w:r>
    </w:p>
    <w:p w14:paraId="353F6AEC" w14:textId="77777777" w:rsidR="00050881" w:rsidRPr="00050881" w:rsidRDefault="00050881" w:rsidP="00050881">
      <w:pPr>
        <w:numPr>
          <w:ilvl w:val="0"/>
          <w:numId w:val="4"/>
        </w:numPr>
      </w:pPr>
      <w:r w:rsidRPr="00050881">
        <w:rPr>
          <w:b/>
          <w:bCs/>
        </w:rPr>
        <w:t>Style</w:t>
      </w:r>
      <w:r w:rsidRPr="00050881">
        <w:t>: Dry white wine</w:t>
      </w:r>
    </w:p>
    <w:p w14:paraId="5CF5C077" w14:textId="77777777" w:rsidR="00050881" w:rsidRPr="00050881" w:rsidRDefault="00050881" w:rsidP="00050881">
      <w:pPr>
        <w:numPr>
          <w:ilvl w:val="0"/>
          <w:numId w:val="4"/>
        </w:numPr>
      </w:pPr>
      <w:r w:rsidRPr="00050881">
        <w:rPr>
          <w:b/>
          <w:bCs/>
        </w:rPr>
        <w:lastRenderedPageBreak/>
        <w:t>Alcohol</w:t>
      </w:r>
      <w:r w:rsidRPr="00050881">
        <w:t>: Minimum 11.5% ABV</w:t>
      </w:r>
    </w:p>
    <w:p w14:paraId="5AE5822D" w14:textId="77777777" w:rsidR="00050881" w:rsidRPr="00050881" w:rsidRDefault="00050881" w:rsidP="00050881">
      <w:pPr>
        <w:rPr>
          <w:b/>
          <w:bCs/>
        </w:rPr>
      </w:pPr>
      <w:r w:rsidRPr="00050881">
        <w:rPr>
          <w:b/>
          <w:bCs/>
        </w:rPr>
        <w:t>Greco di Tufo DOCG</w:t>
      </w:r>
    </w:p>
    <w:p w14:paraId="31BFD63C" w14:textId="77777777" w:rsidR="00050881" w:rsidRPr="00050881" w:rsidRDefault="00050881" w:rsidP="00050881">
      <w:pPr>
        <w:numPr>
          <w:ilvl w:val="0"/>
          <w:numId w:val="5"/>
        </w:numPr>
      </w:pPr>
      <w:r w:rsidRPr="00050881">
        <w:rPr>
          <w:b/>
          <w:bCs/>
        </w:rPr>
        <w:t>Composition</w:t>
      </w:r>
      <w:r w:rsidRPr="00050881">
        <w:t>: 85-100% Greco</w:t>
      </w:r>
    </w:p>
    <w:p w14:paraId="278A8621" w14:textId="77777777" w:rsidR="00050881" w:rsidRPr="00050881" w:rsidRDefault="00050881" w:rsidP="00050881">
      <w:pPr>
        <w:numPr>
          <w:ilvl w:val="0"/>
          <w:numId w:val="5"/>
        </w:numPr>
      </w:pPr>
      <w:r w:rsidRPr="00050881">
        <w:rPr>
          <w:b/>
          <w:bCs/>
        </w:rPr>
        <w:t>Styles</w:t>
      </w:r>
      <w:r w:rsidRPr="00050881">
        <w:t>: Produced as both still and sparkling wines</w:t>
      </w:r>
    </w:p>
    <w:p w14:paraId="08485AA9" w14:textId="77777777" w:rsidR="00050881" w:rsidRPr="00050881" w:rsidRDefault="00050881" w:rsidP="00050881">
      <w:pPr>
        <w:numPr>
          <w:ilvl w:val="0"/>
          <w:numId w:val="5"/>
        </w:numPr>
      </w:pPr>
      <w:r w:rsidRPr="00050881">
        <w:rPr>
          <w:b/>
          <w:bCs/>
        </w:rPr>
        <w:t>Alcohol</w:t>
      </w:r>
      <w:r w:rsidRPr="00050881">
        <w:t>: Minimum 11.5% ABV (12% for sparkling)</w:t>
      </w:r>
    </w:p>
    <w:p w14:paraId="5ACAC17C" w14:textId="77777777" w:rsidR="00050881" w:rsidRPr="00050881" w:rsidRDefault="00050881" w:rsidP="00050881">
      <w:pPr>
        <w:numPr>
          <w:ilvl w:val="0"/>
          <w:numId w:val="5"/>
        </w:numPr>
      </w:pPr>
      <w:r w:rsidRPr="00050881">
        <w:rPr>
          <w:b/>
          <w:bCs/>
        </w:rPr>
        <w:t>Sparkling Method</w:t>
      </w:r>
      <w:r w:rsidRPr="00050881">
        <w:t xml:space="preserve">: </w:t>
      </w:r>
      <w:proofErr w:type="spellStart"/>
      <w:r w:rsidRPr="00050881">
        <w:t>Metodo</w:t>
      </w:r>
      <w:proofErr w:type="spellEnd"/>
      <w:r w:rsidRPr="00050881">
        <w:t xml:space="preserve"> Classico with 36 months on lees</w:t>
      </w:r>
    </w:p>
    <w:p w14:paraId="2F6DA5D0" w14:textId="77777777" w:rsidR="00050881" w:rsidRPr="00050881" w:rsidRDefault="00050881" w:rsidP="00050881">
      <w:pPr>
        <w:rPr>
          <w:b/>
          <w:bCs/>
        </w:rPr>
      </w:pPr>
      <w:r w:rsidRPr="00050881">
        <w:rPr>
          <w:b/>
          <w:bCs/>
        </w:rPr>
        <w:t>Vesuvio DOC</w:t>
      </w:r>
    </w:p>
    <w:p w14:paraId="1C7EE864" w14:textId="77777777" w:rsidR="00050881" w:rsidRPr="00050881" w:rsidRDefault="00050881" w:rsidP="00050881">
      <w:pPr>
        <w:numPr>
          <w:ilvl w:val="0"/>
          <w:numId w:val="6"/>
        </w:numPr>
      </w:pPr>
      <w:r w:rsidRPr="00050881">
        <w:rPr>
          <w:b/>
          <w:bCs/>
        </w:rPr>
        <w:t>Styles</w:t>
      </w:r>
      <w:r w:rsidRPr="00050881">
        <w:t>: Red, white, rosé, sparkling, and sweet fortified wines</w:t>
      </w:r>
    </w:p>
    <w:p w14:paraId="4BA61746" w14:textId="77777777" w:rsidR="00050881" w:rsidRPr="00050881" w:rsidRDefault="00050881" w:rsidP="00050881">
      <w:pPr>
        <w:numPr>
          <w:ilvl w:val="0"/>
          <w:numId w:val="6"/>
        </w:numPr>
      </w:pPr>
      <w:r w:rsidRPr="00050881">
        <w:rPr>
          <w:b/>
          <w:bCs/>
        </w:rPr>
        <w:t>White Varieties</w:t>
      </w:r>
      <w:r w:rsidRPr="00050881">
        <w:t xml:space="preserve">: Primarily </w:t>
      </w:r>
      <w:proofErr w:type="spellStart"/>
      <w:r w:rsidRPr="00050881">
        <w:t>Caprettone</w:t>
      </w:r>
      <w:proofErr w:type="spellEnd"/>
      <w:r w:rsidRPr="00050881">
        <w:t xml:space="preserve">, Coda di Volpe, and </w:t>
      </w:r>
      <w:proofErr w:type="spellStart"/>
      <w:r w:rsidRPr="00050881">
        <w:t>Falanghina</w:t>
      </w:r>
      <w:proofErr w:type="spellEnd"/>
    </w:p>
    <w:p w14:paraId="3DD7B531" w14:textId="77777777" w:rsidR="00050881" w:rsidRPr="00050881" w:rsidRDefault="00050881" w:rsidP="00050881">
      <w:pPr>
        <w:numPr>
          <w:ilvl w:val="0"/>
          <w:numId w:val="6"/>
        </w:numPr>
      </w:pPr>
      <w:r w:rsidRPr="00050881">
        <w:rPr>
          <w:b/>
          <w:bCs/>
        </w:rPr>
        <w:t>Red Varieties</w:t>
      </w:r>
      <w:r w:rsidRPr="00050881">
        <w:t xml:space="preserve">: Primarily Aglianico and </w:t>
      </w:r>
      <w:proofErr w:type="spellStart"/>
      <w:r w:rsidRPr="00050881">
        <w:t>Piedirosso</w:t>
      </w:r>
      <w:proofErr w:type="spellEnd"/>
    </w:p>
    <w:p w14:paraId="174EEDB3" w14:textId="77777777" w:rsidR="00050881" w:rsidRPr="00050881" w:rsidRDefault="00050881" w:rsidP="00050881">
      <w:pPr>
        <w:numPr>
          <w:ilvl w:val="0"/>
          <w:numId w:val="6"/>
        </w:numPr>
      </w:pPr>
      <w:r w:rsidRPr="00050881">
        <w:rPr>
          <w:b/>
          <w:bCs/>
        </w:rPr>
        <w:t>Special Label</w:t>
      </w:r>
      <w:r w:rsidRPr="00050881">
        <w:t>: "</w:t>
      </w:r>
      <w:proofErr w:type="spellStart"/>
      <w:r w:rsidRPr="00050881">
        <w:t>Lacryma</w:t>
      </w:r>
      <w:proofErr w:type="spellEnd"/>
      <w:r w:rsidRPr="00050881">
        <w:t xml:space="preserve"> Christi" (Tears of Christ) designation for certain wines from this area</w:t>
      </w:r>
    </w:p>
    <w:p w14:paraId="4A0197C9" w14:textId="77777777" w:rsidR="00050881" w:rsidRPr="00050881" w:rsidRDefault="00050881" w:rsidP="00050881">
      <w:pPr>
        <w:rPr>
          <w:b/>
          <w:bCs/>
        </w:rPr>
      </w:pPr>
      <w:r w:rsidRPr="00050881">
        <w:rPr>
          <w:b/>
          <w:bCs/>
        </w:rPr>
        <w:t xml:space="preserve">Aglianico del </w:t>
      </w:r>
      <w:proofErr w:type="spellStart"/>
      <w:r w:rsidRPr="00050881">
        <w:rPr>
          <w:b/>
          <w:bCs/>
        </w:rPr>
        <w:t>Taburno</w:t>
      </w:r>
      <w:proofErr w:type="spellEnd"/>
      <w:r w:rsidRPr="00050881">
        <w:rPr>
          <w:b/>
          <w:bCs/>
        </w:rPr>
        <w:t xml:space="preserve"> DOCG</w:t>
      </w:r>
    </w:p>
    <w:p w14:paraId="3A28D6DB" w14:textId="77777777" w:rsidR="00050881" w:rsidRPr="00050881" w:rsidRDefault="00050881" w:rsidP="00050881">
      <w:pPr>
        <w:numPr>
          <w:ilvl w:val="0"/>
          <w:numId w:val="7"/>
        </w:numPr>
      </w:pPr>
      <w:r w:rsidRPr="00050881">
        <w:rPr>
          <w:b/>
          <w:bCs/>
        </w:rPr>
        <w:t>Composition</w:t>
      </w:r>
      <w:r w:rsidRPr="00050881">
        <w:t>: Made from Aglianico grape</w:t>
      </w:r>
    </w:p>
    <w:p w14:paraId="4BC76B6C" w14:textId="77777777" w:rsidR="00050881" w:rsidRPr="00050881" w:rsidRDefault="00050881" w:rsidP="00050881">
      <w:pPr>
        <w:numPr>
          <w:ilvl w:val="0"/>
          <w:numId w:val="7"/>
        </w:numPr>
      </w:pPr>
      <w:r w:rsidRPr="00050881">
        <w:rPr>
          <w:b/>
          <w:bCs/>
        </w:rPr>
        <w:t>Styles</w:t>
      </w:r>
      <w:r w:rsidRPr="00050881">
        <w:t>: Red and rosé</w:t>
      </w:r>
    </w:p>
    <w:p w14:paraId="3C70DC3C" w14:textId="77777777" w:rsidR="00050881" w:rsidRPr="00050881" w:rsidRDefault="00050881" w:rsidP="00050881">
      <w:pPr>
        <w:numPr>
          <w:ilvl w:val="0"/>
          <w:numId w:val="7"/>
        </w:numPr>
      </w:pPr>
      <w:r w:rsidRPr="00050881">
        <w:rPr>
          <w:b/>
          <w:bCs/>
        </w:rPr>
        <w:t>Alcohol</w:t>
      </w:r>
      <w:r w:rsidRPr="00050881">
        <w:t>: Minimum 12% ABV (13% for Riserva)</w:t>
      </w:r>
    </w:p>
    <w:p w14:paraId="50BDC702" w14:textId="77777777" w:rsidR="00050881" w:rsidRPr="00050881" w:rsidRDefault="00050881" w:rsidP="00050881">
      <w:pPr>
        <w:numPr>
          <w:ilvl w:val="0"/>
          <w:numId w:val="7"/>
        </w:numPr>
      </w:pPr>
      <w:r w:rsidRPr="00050881">
        <w:rPr>
          <w:b/>
          <w:bCs/>
        </w:rPr>
        <w:t>Aging</w:t>
      </w:r>
      <w:r w:rsidRPr="00050881">
        <w:t>: Rosso minimum 2 years; Riserva 3 years (including 12 months in wood and 6 months in bottle)</w:t>
      </w:r>
    </w:p>
    <w:p w14:paraId="177FE71A" w14:textId="77777777" w:rsidR="00050881" w:rsidRPr="00050881" w:rsidRDefault="00050881" w:rsidP="00050881"/>
    <w:sectPr w:rsidR="00050881" w:rsidRPr="00050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68B9" w14:textId="77777777" w:rsidR="00766674" w:rsidRDefault="00766674" w:rsidP="008B4830">
      <w:pPr>
        <w:spacing w:after="0" w:line="240" w:lineRule="auto"/>
      </w:pPr>
      <w:r>
        <w:separator/>
      </w:r>
    </w:p>
  </w:endnote>
  <w:endnote w:type="continuationSeparator" w:id="0">
    <w:p w14:paraId="7D58467D" w14:textId="77777777" w:rsidR="00766674" w:rsidRDefault="00766674" w:rsidP="008B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823E" w14:textId="77777777" w:rsidR="00766674" w:rsidRDefault="00766674" w:rsidP="008B4830">
      <w:pPr>
        <w:spacing w:after="0" w:line="240" w:lineRule="auto"/>
      </w:pPr>
      <w:r>
        <w:separator/>
      </w:r>
    </w:p>
  </w:footnote>
  <w:footnote w:type="continuationSeparator" w:id="0">
    <w:p w14:paraId="146247CB" w14:textId="77777777" w:rsidR="00766674" w:rsidRDefault="00766674" w:rsidP="008B4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6B5"/>
    <w:multiLevelType w:val="multilevel"/>
    <w:tmpl w:val="E15A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77631"/>
    <w:multiLevelType w:val="multilevel"/>
    <w:tmpl w:val="F42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477D"/>
    <w:multiLevelType w:val="multilevel"/>
    <w:tmpl w:val="8F4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95071"/>
    <w:multiLevelType w:val="multilevel"/>
    <w:tmpl w:val="68B6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30BCF"/>
    <w:multiLevelType w:val="multilevel"/>
    <w:tmpl w:val="636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C173F"/>
    <w:multiLevelType w:val="multilevel"/>
    <w:tmpl w:val="F30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47165"/>
    <w:multiLevelType w:val="multilevel"/>
    <w:tmpl w:val="0C48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110753">
    <w:abstractNumId w:val="3"/>
  </w:num>
  <w:num w:numId="2" w16cid:durableId="708141271">
    <w:abstractNumId w:val="4"/>
  </w:num>
  <w:num w:numId="3" w16cid:durableId="1056052260">
    <w:abstractNumId w:val="6"/>
  </w:num>
  <w:num w:numId="4" w16cid:durableId="1467892964">
    <w:abstractNumId w:val="5"/>
  </w:num>
  <w:num w:numId="5" w16cid:durableId="2090079836">
    <w:abstractNumId w:val="1"/>
  </w:num>
  <w:num w:numId="6" w16cid:durableId="646129646">
    <w:abstractNumId w:val="0"/>
  </w:num>
  <w:num w:numId="7" w16cid:durableId="79752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1"/>
    <w:rsid w:val="00050881"/>
    <w:rsid w:val="00082300"/>
    <w:rsid w:val="00766674"/>
    <w:rsid w:val="007C4C06"/>
    <w:rsid w:val="008B4830"/>
    <w:rsid w:val="00A3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C8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881"/>
    <w:rPr>
      <w:rFonts w:eastAsiaTheme="majorEastAsia" w:cstheme="majorBidi"/>
      <w:color w:val="272727" w:themeColor="text1" w:themeTint="D8"/>
    </w:rPr>
  </w:style>
  <w:style w:type="paragraph" w:styleId="Title">
    <w:name w:val="Title"/>
    <w:basedOn w:val="Normal"/>
    <w:next w:val="Normal"/>
    <w:link w:val="TitleChar"/>
    <w:uiPriority w:val="10"/>
    <w:qFormat/>
    <w:rsid w:val="00050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881"/>
    <w:pPr>
      <w:spacing w:before="160"/>
      <w:jc w:val="center"/>
    </w:pPr>
    <w:rPr>
      <w:i/>
      <w:iCs/>
      <w:color w:val="404040" w:themeColor="text1" w:themeTint="BF"/>
    </w:rPr>
  </w:style>
  <w:style w:type="character" w:customStyle="1" w:styleId="QuoteChar">
    <w:name w:val="Quote Char"/>
    <w:basedOn w:val="DefaultParagraphFont"/>
    <w:link w:val="Quote"/>
    <w:uiPriority w:val="29"/>
    <w:rsid w:val="00050881"/>
    <w:rPr>
      <w:i/>
      <w:iCs/>
      <w:color w:val="404040" w:themeColor="text1" w:themeTint="BF"/>
    </w:rPr>
  </w:style>
  <w:style w:type="paragraph" w:styleId="ListParagraph">
    <w:name w:val="List Paragraph"/>
    <w:basedOn w:val="Normal"/>
    <w:uiPriority w:val="34"/>
    <w:qFormat/>
    <w:rsid w:val="00050881"/>
    <w:pPr>
      <w:ind w:left="720"/>
      <w:contextualSpacing/>
    </w:pPr>
  </w:style>
  <w:style w:type="character" w:styleId="IntenseEmphasis">
    <w:name w:val="Intense Emphasis"/>
    <w:basedOn w:val="DefaultParagraphFont"/>
    <w:uiPriority w:val="21"/>
    <w:qFormat/>
    <w:rsid w:val="00050881"/>
    <w:rPr>
      <w:i/>
      <w:iCs/>
      <w:color w:val="2F5496" w:themeColor="accent1" w:themeShade="BF"/>
    </w:rPr>
  </w:style>
  <w:style w:type="paragraph" w:styleId="IntenseQuote">
    <w:name w:val="Intense Quote"/>
    <w:basedOn w:val="Normal"/>
    <w:next w:val="Normal"/>
    <w:link w:val="IntenseQuoteChar"/>
    <w:uiPriority w:val="30"/>
    <w:qFormat/>
    <w:rsid w:val="00050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881"/>
    <w:rPr>
      <w:i/>
      <w:iCs/>
      <w:color w:val="2F5496" w:themeColor="accent1" w:themeShade="BF"/>
    </w:rPr>
  </w:style>
  <w:style w:type="character" w:styleId="IntenseReference">
    <w:name w:val="Intense Reference"/>
    <w:basedOn w:val="DefaultParagraphFont"/>
    <w:uiPriority w:val="32"/>
    <w:qFormat/>
    <w:rsid w:val="00050881"/>
    <w:rPr>
      <w:b/>
      <w:bCs/>
      <w:smallCaps/>
      <w:color w:val="2F5496" w:themeColor="accent1" w:themeShade="BF"/>
      <w:spacing w:val="5"/>
    </w:rPr>
  </w:style>
  <w:style w:type="paragraph" w:styleId="Header">
    <w:name w:val="header"/>
    <w:basedOn w:val="Normal"/>
    <w:link w:val="HeaderChar"/>
    <w:uiPriority w:val="99"/>
    <w:unhideWhenUsed/>
    <w:rsid w:val="008B4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830"/>
  </w:style>
  <w:style w:type="paragraph" w:styleId="Footer">
    <w:name w:val="footer"/>
    <w:basedOn w:val="Normal"/>
    <w:link w:val="FooterChar"/>
    <w:uiPriority w:val="99"/>
    <w:unhideWhenUsed/>
    <w:rsid w:val="008B4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3360">
      <w:bodyDiv w:val="1"/>
      <w:marLeft w:val="0"/>
      <w:marRight w:val="0"/>
      <w:marTop w:val="0"/>
      <w:marBottom w:val="0"/>
      <w:divBdr>
        <w:top w:val="none" w:sz="0" w:space="0" w:color="auto"/>
        <w:left w:val="none" w:sz="0" w:space="0" w:color="auto"/>
        <w:bottom w:val="none" w:sz="0" w:space="0" w:color="auto"/>
        <w:right w:val="none" w:sz="0" w:space="0" w:color="auto"/>
      </w:divBdr>
    </w:div>
    <w:div w:id="18817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2025-05-14T02:30:00Z</dcterms:created>
  <dcterms:modified xsi:type="dcterms:W3CDTF">2025-05-14T02:30:00Z</dcterms:modified>
</cp:coreProperties>
</file>