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2317" w14:textId="77777777" w:rsidR="00044F29" w:rsidRPr="00044F29" w:rsidRDefault="00044F29" w:rsidP="00044F29">
      <w:pPr>
        <w:ind w:left="0" w:firstLine="0"/>
        <w:jc w:val="center"/>
        <w:rPr>
          <w:rFonts w:asciiTheme="majorBidi" w:hAnsiTheme="majorBidi" w:cstheme="majorBidi"/>
          <w:b/>
          <w:bCs/>
          <w:sz w:val="32"/>
          <w:szCs w:val="32"/>
        </w:rPr>
      </w:pPr>
      <w:r w:rsidRPr="00044F29">
        <w:rPr>
          <w:rFonts w:asciiTheme="majorBidi" w:hAnsiTheme="majorBidi" w:cstheme="majorBidi"/>
          <w:b/>
          <w:bCs/>
          <w:sz w:val="32"/>
          <w:szCs w:val="32"/>
        </w:rPr>
        <w:t>California Wine Fire</w:t>
      </w:r>
    </w:p>
    <w:p w14:paraId="5730E393" w14:textId="77777777" w:rsidR="00044F29" w:rsidRPr="00044F29" w:rsidRDefault="00044F29" w:rsidP="00044F29">
      <w:pPr>
        <w:ind w:left="0" w:firstLine="0"/>
        <w:jc w:val="center"/>
        <w:rPr>
          <w:rFonts w:asciiTheme="majorBidi" w:hAnsiTheme="majorBidi" w:cstheme="majorBidi"/>
          <w:b/>
          <w:bCs/>
          <w:sz w:val="32"/>
          <w:szCs w:val="32"/>
        </w:rPr>
      </w:pPr>
      <w:r w:rsidRPr="00044F29">
        <w:rPr>
          <w:rFonts w:asciiTheme="majorBidi" w:hAnsiTheme="majorBidi" w:cstheme="majorBidi"/>
          <w:b/>
          <w:bCs/>
          <w:sz w:val="32"/>
          <w:szCs w:val="32"/>
        </w:rPr>
        <w:t>How One Night in Vallejo Exposed the Shadows Beneath California’s Brightest Bottles</w:t>
      </w:r>
    </w:p>
    <w:p w14:paraId="09975D6A" w14:textId="77777777" w:rsidR="00044F29" w:rsidRPr="00044F29" w:rsidRDefault="00044F29" w:rsidP="00044F29">
      <w:pPr>
        <w:ind w:left="0" w:firstLine="0"/>
        <w:jc w:val="center"/>
        <w:rPr>
          <w:rFonts w:asciiTheme="majorBidi" w:hAnsiTheme="majorBidi" w:cstheme="majorBidi"/>
          <w:b/>
          <w:bCs/>
          <w:sz w:val="32"/>
          <w:szCs w:val="32"/>
        </w:rPr>
      </w:pPr>
      <w:r w:rsidRPr="00044F29">
        <w:rPr>
          <w:rFonts w:asciiTheme="majorBidi" w:hAnsiTheme="majorBidi" w:cstheme="majorBidi"/>
          <w:b/>
          <w:bCs/>
          <w:sz w:val="32"/>
          <w:szCs w:val="32"/>
        </w:rPr>
        <w:t>By Marc Silver</w:t>
      </w:r>
    </w:p>
    <w:p w14:paraId="0EE76B46"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i/>
          <w:iCs/>
          <w:sz w:val="32"/>
          <w:szCs w:val="32"/>
        </w:rPr>
        <w:t>“Wine is sunlight, held together by water.”</w:t>
      </w:r>
      <w:r w:rsidRPr="00044F29">
        <w:rPr>
          <w:rFonts w:asciiTheme="majorBidi" w:hAnsiTheme="majorBidi" w:cstheme="majorBidi"/>
          <w:sz w:val="32"/>
          <w:szCs w:val="32"/>
        </w:rPr>
        <w:br/>
        <w:t>—Galileo Galilei</w:t>
      </w:r>
    </w:p>
    <w:p w14:paraId="5F0B2602"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But in California, it’s more than that. It’s also shadow, bound by blood.</w:t>
      </w:r>
    </w:p>
    <w:p w14:paraId="49BE02CD" w14:textId="77777777"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A Modern Tragedy in Vallejo</w:t>
      </w:r>
    </w:p>
    <w:p w14:paraId="197E57C7"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 xml:space="preserve">On October 12, 2005, just after 3 a.m., a propane torch flickered to life inside Vallejo’s Wines Central warehouse. In minutes, fire tore through the 240,000-square-foot facility, a converted naval depot safeguarding some of California’s most prestigious wine collections. The inferno burned for nearly 24 hours, consuming 4.5 million bottles—worth over $250 million—including irreplaceable bottles like 175 surviving 1875 Port and Angelica wines made by Isaias Hellman, a banking magnate turned vineyard owner. His descendant, Frances Dinkelspiel, would later tell the full story in </w:t>
      </w:r>
      <w:r w:rsidRPr="00044F29">
        <w:rPr>
          <w:rFonts w:asciiTheme="majorBidi" w:hAnsiTheme="majorBidi" w:cstheme="majorBidi"/>
          <w:i/>
          <w:iCs/>
          <w:sz w:val="32"/>
          <w:szCs w:val="32"/>
        </w:rPr>
        <w:t>Tangled Vines</w:t>
      </w:r>
      <w:r w:rsidRPr="00044F29">
        <w:rPr>
          <w:rFonts w:asciiTheme="majorBidi" w:hAnsiTheme="majorBidi" w:cstheme="majorBidi"/>
          <w:sz w:val="32"/>
          <w:szCs w:val="32"/>
        </w:rPr>
        <w:t>.</w:t>
      </w:r>
    </w:p>
    <w:p w14:paraId="1EFA36F3"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The man responsible was Mark Anderson, owner of Sausalito Cellars. For years, he had presented himself as a refined custodian of other people’s collections—trusted by celebrities, collectors, and wineries alike. But behind that façade, he had been stealing bottles to fund a lifestyle of vintage cars, luxury homes, and yacht club memberships. By 2005, facing lawsuits over missing inventory, Anderson made a desperate decision: burn it all.</w:t>
      </w:r>
    </w:p>
    <w:p w14:paraId="001AD0F6"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 xml:space="preserve">His 2009 trial revealed a tangled web of fraud—doctored spreadsheets, phantom clients, and years of deception. Jurors were shown melted glass and charred labels of Screaming Eagle and Harlan Estate. Anderson was </w:t>
      </w:r>
      <w:r w:rsidRPr="00044F29">
        <w:rPr>
          <w:rFonts w:asciiTheme="majorBidi" w:hAnsiTheme="majorBidi" w:cstheme="majorBidi"/>
          <w:sz w:val="32"/>
          <w:szCs w:val="32"/>
        </w:rPr>
        <w:lastRenderedPageBreak/>
        <w:t>convicted on 19 counts, including arson, and sentenced to 27 years—the harshest penalty ever handed down for a wine-related crime.</w:t>
      </w:r>
    </w:p>
    <w:p w14:paraId="1FCF2830"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Yet, the true cost went far beyond money. Entire cellars, family histories, and decades of craftsmanship turned to smoke. Jack Daniels of Vino Noceto, who lost 90% of his inventory, put it simply:</w:t>
      </w:r>
    </w:p>
    <w:p w14:paraId="69458377"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i/>
          <w:iCs/>
          <w:sz w:val="32"/>
          <w:szCs w:val="32"/>
        </w:rPr>
        <w:t>“It wasn’t just wine. It was our story.”</w:t>
      </w:r>
    </w:p>
    <w:p w14:paraId="2AD16624"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pict w14:anchorId="6928A163">
          <v:rect id="_x0000_i1503" style="width:0;height:1.5pt" o:hralign="center" o:hrstd="t" o:hr="t" fillcolor="#a0a0a0" stroked="f"/>
        </w:pict>
      </w:r>
    </w:p>
    <w:p w14:paraId="3E483ADC" w14:textId="677AB464"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The Fortress That Failed</w:t>
      </w:r>
    </w:p>
    <w:p w14:paraId="7406E435"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Wines Central had promised security. Its massive concrete walls and climate-controlled vaults lured collectors worried about California’s wildfire risks. By 2005, it held 95% of Napa Valley’s most coveted vintages, including Screaming Eagle’s 1992 inaugural bottling—now worth over $500,000—and a 1945 Mouton Rothschild once gifted by Winston Churchill.</w:t>
      </w:r>
    </w:p>
    <w:p w14:paraId="476DC0BC"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Yet, Anderson’s crime revealed fatal flaws. There were no sprinklers. Security was light. Audits were based on trust, not verification. “It was a Wild West of wine storage,” said former FBI art crime agent Jim Caudill.</w:t>
      </w:r>
    </w:p>
    <w:p w14:paraId="5887D352"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The fire became a wake-up call. Insurers, reeling from $150 million in claims, started demanding strict digital inventory tracking and third-party audits. Collectors spread their holdings globally—moving bottles to fortified sites like Octavian Vaults in the UK or Wine Vault in Singapore.</w:t>
      </w:r>
    </w:p>
    <w:p w14:paraId="6DC2E79F"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 xml:space="preserve">Winemakers, scarred by the loss, took preservation to a new level. Burgess Cellars buried steel capsules of soil, rootstock, and fermentation notes. The Napa Valley Wine Library Association fast-tracked the </w:t>
      </w:r>
      <w:r w:rsidRPr="00044F29">
        <w:rPr>
          <w:rFonts w:asciiTheme="majorBidi" w:hAnsiTheme="majorBidi" w:cstheme="majorBidi"/>
          <w:sz w:val="32"/>
          <w:szCs w:val="32"/>
        </w:rPr>
        <w:lastRenderedPageBreak/>
        <w:t xml:space="preserve">digitization of oral histories—like those of André </w:t>
      </w:r>
      <w:proofErr w:type="spellStart"/>
      <w:r w:rsidRPr="00044F29">
        <w:rPr>
          <w:rFonts w:asciiTheme="majorBidi" w:hAnsiTheme="majorBidi" w:cstheme="majorBidi"/>
          <w:sz w:val="32"/>
          <w:szCs w:val="32"/>
        </w:rPr>
        <w:t>Tchelistcheff</w:t>
      </w:r>
      <w:proofErr w:type="spellEnd"/>
      <w:r w:rsidRPr="00044F29">
        <w:rPr>
          <w:rFonts w:asciiTheme="majorBidi" w:hAnsiTheme="majorBidi" w:cstheme="majorBidi"/>
          <w:sz w:val="32"/>
          <w:szCs w:val="32"/>
        </w:rPr>
        <w:t>, the man often credited with shaping California’s modern wine identity.</w:t>
      </w:r>
    </w:p>
    <w:p w14:paraId="693CC21C"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i/>
          <w:iCs/>
          <w:sz w:val="32"/>
          <w:szCs w:val="32"/>
        </w:rPr>
        <w:t>“No backup can replace a 19th-century vintage. Those wines were time machines,”</w:t>
      </w:r>
      <w:r w:rsidRPr="00044F29">
        <w:rPr>
          <w:rFonts w:asciiTheme="majorBidi" w:hAnsiTheme="majorBidi" w:cstheme="majorBidi"/>
          <w:sz w:val="32"/>
          <w:szCs w:val="32"/>
        </w:rPr>
        <w:t xml:space="preserve"> Dinkelspiel wrote.</w:t>
      </w:r>
    </w:p>
    <w:p w14:paraId="5AEF960B"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pict w14:anchorId="56C4520B">
          <v:rect id="_x0000_i1504" style="width:0;height:1.5pt" o:hralign="center" o:hrstd="t" o:hr="t" fillcolor="#a0a0a0" stroked="f"/>
        </w:pict>
      </w:r>
    </w:p>
    <w:p w14:paraId="345C1716" w14:textId="69673B97"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Wine as Asset, Wine as Risk</w:t>
      </w:r>
    </w:p>
    <w:p w14:paraId="4BEE80D5"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 xml:space="preserve">By the early 2000s, fine wine wasn’t just a drink—it had become a financial asset. Storage facilities filled with portfolios valued like stocks. Rare bottles of Domaine de la </w:t>
      </w:r>
      <w:proofErr w:type="spellStart"/>
      <w:r w:rsidRPr="00044F29">
        <w:rPr>
          <w:rFonts w:asciiTheme="majorBidi" w:hAnsiTheme="majorBidi" w:cstheme="majorBidi"/>
          <w:sz w:val="32"/>
          <w:szCs w:val="32"/>
        </w:rPr>
        <w:t>Romanée</w:t>
      </w:r>
      <w:proofErr w:type="spellEnd"/>
      <w:r w:rsidRPr="00044F29">
        <w:rPr>
          <w:rFonts w:asciiTheme="majorBidi" w:hAnsiTheme="majorBidi" w:cstheme="majorBidi"/>
          <w:sz w:val="32"/>
          <w:szCs w:val="32"/>
        </w:rPr>
        <w:t>-Conti, Petrus, and Screaming Eagle traded hands for tens or even hundreds of thousands of dollars.</w:t>
      </w:r>
    </w:p>
    <w:p w14:paraId="17D13D0E"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But while the wines were priceless, security often wasn’t. Other major wine crimes had already happened around the world.</w:t>
      </w:r>
      <w:r w:rsidRPr="00044F29">
        <w:rPr>
          <w:rFonts w:asciiTheme="majorBidi" w:hAnsiTheme="majorBidi" w:cstheme="majorBidi"/>
          <w:sz w:val="32"/>
          <w:szCs w:val="32"/>
        </w:rPr>
        <w:br/>
        <w:t>In Burgundy and Bordeaux, theft rings stole thousands of bottles from cellars. In Tokyo, criminals broke into high-end restaurants to steal rare vintages. Globally, wine had become big business—and big risk.</w:t>
      </w:r>
    </w:p>
    <w:p w14:paraId="511FF51D"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The 2005 Vallejo fire was the loudest alarm yet.</w:t>
      </w:r>
    </w:p>
    <w:p w14:paraId="520B27C2"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pict w14:anchorId="448C4C3C">
          <v:rect id="_x0000_i1505" style="width:0;height:1.5pt" o:hralign="center" o:hrstd="t" o:hr="t" fillcolor="#a0a0a0" stroked="f"/>
        </w:pict>
      </w:r>
    </w:p>
    <w:p w14:paraId="11012F98" w14:textId="3865F2D6"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California’s Blood-Stained Wine Legacy</w:t>
      </w:r>
    </w:p>
    <w:p w14:paraId="758BA631"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Indigenous Labor and the Roots of the Industry</w:t>
      </w:r>
    </w:p>
    <w:p w14:paraId="0973AD0D"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California’s wine story didn’t begin with glitz and glamour. It began in 1769 with forced labor. Spanish missionaries planted the first vines at Mission San Diego de Alcalá, using the coerced labor of the Kumeyaay people. By 1833, 21,000 Indigenous Californians worked under brutal conditions across mission lands.</w:t>
      </w:r>
    </w:p>
    <w:p w14:paraId="35C279F4"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 xml:space="preserve">After the Gold Rush, California passed the 1850 Act for the Government and Protection of Indians, allowing settlers to “indenture” Indigenous </w:t>
      </w:r>
      <w:r w:rsidRPr="00044F29">
        <w:rPr>
          <w:rFonts w:asciiTheme="majorBidi" w:hAnsiTheme="majorBidi" w:cstheme="majorBidi"/>
          <w:sz w:val="32"/>
          <w:szCs w:val="32"/>
        </w:rPr>
        <w:lastRenderedPageBreak/>
        <w:t>people—adults for up to 15 years, children until they turned 25. At places like Sonoma’s Buena Vista Winery, workers were chained to vats to prevent escape.</w:t>
      </w:r>
    </w:p>
    <w:p w14:paraId="00CD6242"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i/>
          <w:iCs/>
          <w:sz w:val="32"/>
          <w:szCs w:val="32"/>
        </w:rPr>
        <w:t>“Wine flowed here because blood did first,”</w:t>
      </w:r>
      <w:r w:rsidRPr="00044F29">
        <w:rPr>
          <w:rFonts w:asciiTheme="majorBidi" w:hAnsiTheme="majorBidi" w:cstheme="majorBidi"/>
          <w:sz w:val="32"/>
          <w:szCs w:val="32"/>
        </w:rPr>
        <w:t xml:space="preserve"> said Valentin Lopez, chair of the Amah </w:t>
      </w:r>
      <w:proofErr w:type="spellStart"/>
      <w:r w:rsidRPr="00044F29">
        <w:rPr>
          <w:rFonts w:asciiTheme="majorBidi" w:hAnsiTheme="majorBidi" w:cstheme="majorBidi"/>
          <w:sz w:val="32"/>
          <w:szCs w:val="32"/>
        </w:rPr>
        <w:t>Mutsun</w:t>
      </w:r>
      <w:proofErr w:type="spellEnd"/>
      <w:r w:rsidRPr="00044F29">
        <w:rPr>
          <w:rFonts w:asciiTheme="majorBidi" w:hAnsiTheme="majorBidi" w:cstheme="majorBidi"/>
          <w:sz w:val="32"/>
          <w:szCs w:val="32"/>
        </w:rPr>
        <w:t xml:space="preserve"> Tribal Band.</w:t>
      </w:r>
    </w:p>
    <w:p w14:paraId="623F1E92"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The Chinese Contribution—and Betrayal</w:t>
      </w:r>
    </w:p>
    <w:p w14:paraId="2A84A168"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After the Civil War, Chinese immigrants built much of California’s wine infrastructure—terracing vineyards, laying railroad lines, and picking grapes. By 1880, they made up 80% of Napa’s vineyard labor force. Yet the Chinese Exclusion Act of 1882 stripped them of rights and protections.</w:t>
      </w:r>
    </w:p>
    <w:p w14:paraId="3D30D3F8"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On vineyards like Hellman’s Rancho Cucamonga, they were paid in scrip redeemable only at company stores—trapped in a cycle of debt. Violence wasn’t far behind. In 1870, a Chinese foreman was murdered near Fresno, likely by white competitors. His killers were never caught.</w:t>
      </w:r>
    </w:p>
    <w:p w14:paraId="1540ABFC"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pict w14:anchorId="55556446">
          <v:rect id="_x0000_i1506" style="width:0;height:1.5pt" o:hralign="center" o:hrstd="t" o:hr="t" fillcolor="#a0a0a0" stroked="f"/>
        </w:pict>
      </w:r>
    </w:p>
    <w:p w14:paraId="6D12A2AF" w14:textId="3A21D38F"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Modern Flames and Migrant Labor</w:t>
      </w:r>
    </w:p>
    <w:p w14:paraId="7EF7FFFE"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The 2020 Wildfire Season</w:t>
      </w:r>
    </w:p>
    <w:p w14:paraId="0B24AD2F"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The 2020 fire season scorched 4.3 million acres and wiped out more than 1,200 vineyards. Sonoma’s historic Chateau Boswell was among the losses. Yet, as flames raged, thousands of farmworkers—most undocumented—kept picking grapes.</w:t>
      </w:r>
    </w:p>
    <w:p w14:paraId="1914ABEF"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Maria Gonzalez, a vineyard worker from Oaxaca, described fleeing in a van with shattered windows as ash rained down.</w:t>
      </w:r>
    </w:p>
    <w:p w14:paraId="4914AAB8"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i/>
          <w:iCs/>
          <w:sz w:val="32"/>
          <w:szCs w:val="32"/>
        </w:rPr>
        <w:t>“We breathed smoke for days. No masks. No extra pay.”</w:t>
      </w:r>
    </w:p>
    <w:p w14:paraId="38E625D8"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lastRenderedPageBreak/>
        <w:t>Advocacy groups like the Farmworker Foundation are pushing for better protections. In 2023, California passed SB 606, requiring N95 masks and evacuation plans for farmworkers. But enforcement is inconsistent, and workers say they still feel disposable.</w:t>
      </w:r>
    </w:p>
    <w:p w14:paraId="70469081"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pict w14:anchorId="47F4C066">
          <v:rect id="_x0000_i1507" style="width:0;height:1.5pt" o:hralign="center" o:hrstd="t" o:hr="t" fillcolor="#a0a0a0" stroked="f"/>
        </w:pict>
      </w:r>
    </w:p>
    <w:p w14:paraId="5E22982D" w14:textId="3EBDEA4B"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Reclaiming the Land</w:t>
      </w:r>
    </w:p>
    <w:p w14:paraId="7034E52A"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Tribal nations are leading the way in rewriting California’s wine story. In 2020, the Santa Ynez Band of Chumash Indians bought 1,400 acres of former vineyard land, restoring native plants and wildlife. The Wiyot Tribe partnered with Bear Republic Brewery to reintroduce wild grape varieties.</w:t>
      </w:r>
    </w:p>
    <w:p w14:paraId="38486EE6"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 xml:space="preserve">Some wineries are following suit. </w:t>
      </w:r>
      <w:proofErr w:type="spellStart"/>
      <w:r w:rsidRPr="00044F29">
        <w:rPr>
          <w:rFonts w:asciiTheme="majorBidi" w:hAnsiTheme="majorBidi" w:cstheme="majorBidi"/>
          <w:sz w:val="32"/>
          <w:szCs w:val="32"/>
        </w:rPr>
        <w:t>Tablas</w:t>
      </w:r>
      <w:proofErr w:type="spellEnd"/>
      <w:r w:rsidRPr="00044F29">
        <w:rPr>
          <w:rFonts w:asciiTheme="majorBidi" w:hAnsiTheme="majorBidi" w:cstheme="majorBidi"/>
          <w:sz w:val="32"/>
          <w:szCs w:val="32"/>
        </w:rPr>
        <w:t xml:space="preserve"> Creek Vineyard’s “Paso Robles Ancestral” series acknowledges Indigenous stewardship, donating proceeds to the Northern Chumash Tribe. DAOU Vineyards partners with the Salinan Tribe to replant native grasses.</w:t>
      </w:r>
    </w:p>
    <w:p w14:paraId="4DD34419"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i/>
          <w:iCs/>
          <w:sz w:val="32"/>
          <w:szCs w:val="32"/>
        </w:rPr>
        <w:t>“Regenerative farming isn’t a trend—it’s reparations,”</w:t>
      </w:r>
      <w:r w:rsidRPr="00044F29">
        <w:rPr>
          <w:rFonts w:asciiTheme="majorBidi" w:hAnsiTheme="majorBidi" w:cstheme="majorBidi"/>
          <w:sz w:val="32"/>
          <w:szCs w:val="32"/>
        </w:rPr>
        <w:t xml:space="preserve"> said winemaker Daniel Daou.</w:t>
      </w:r>
    </w:p>
    <w:p w14:paraId="3CE8450E"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pict w14:anchorId="1385E345">
          <v:rect id="_x0000_i1508" style="width:0;height:1.5pt" o:hralign="center" o:hrstd="t" o:hr="t" fillcolor="#a0a0a0" stroked="f"/>
        </w:pict>
      </w:r>
    </w:p>
    <w:p w14:paraId="35ADF8FD" w14:textId="16D214D1"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A Global Pattern</w:t>
      </w:r>
    </w:p>
    <w:p w14:paraId="6E35BFA6"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Wine and fire share a long, uneasy relationship.</w:t>
      </w:r>
    </w:p>
    <w:p w14:paraId="1F0636EC" w14:textId="77777777" w:rsidR="00044F29" w:rsidRPr="00044F29" w:rsidRDefault="00044F29" w:rsidP="00044F29">
      <w:pPr>
        <w:numPr>
          <w:ilvl w:val="0"/>
          <w:numId w:val="4"/>
        </w:numPr>
        <w:ind w:left="0" w:firstLine="0"/>
        <w:rPr>
          <w:rFonts w:asciiTheme="majorBidi" w:hAnsiTheme="majorBidi" w:cstheme="majorBidi"/>
          <w:sz w:val="32"/>
          <w:szCs w:val="32"/>
        </w:rPr>
      </w:pPr>
      <w:r w:rsidRPr="00044F29">
        <w:rPr>
          <w:rFonts w:asciiTheme="majorBidi" w:hAnsiTheme="majorBidi" w:cstheme="majorBidi"/>
          <w:sz w:val="32"/>
          <w:szCs w:val="32"/>
        </w:rPr>
        <w:t>France, 1940: Allied bombs leveled parts of Bordeaux.</w:t>
      </w:r>
    </w:p>
    <w:p w14:paraId="4C75B9B3" w14:textId="77777777" w:rsidR="00044F29" w:rsidRPr="00044F29" w:rsidRDefault="00044F29" w:rsidP="00044F29">
      <w:pPr>
        <w:numPr>
          <w:ilvl w:val="0"/>
          <w:numId w:val="4"/>
        </w:numPr>
        <w:ind w:left="0" w:firstLine="0"/>
        <w:rPr>
          <w:rFonts w:asciiTheme="majorBidi" w:hAnsiTheme="majorBidi" w:cstheme="majorBidi"/>
          <w:sz w:val="32"/>
          <w:szCs w:val="32"/>
        </w:rPr>
      </w:pPr>
      <w:r w:rsidRPr="00044F29">
        <w:rPr>
          <w:rFonts w:asciiTheme="majorBidi" w:hAnsiTheme="majorBidi" w:cstheme="majorBidi"/>
          <w:sz w:val="32"/>
          <w:szCs w:val="32"/>
        </w:rPr>
        <w:t>Australia, 2019: Over 60 vineyards burned in Adelaide Hills.</w:t>
      </w:r>
    </w:p>
    <w:p w14:paraId="5B61EA2F" w14:textId="77777777" w:rsidR="00044F29" w:rsidRPr="00044F29" w:rsidRDefault="00044F29" w:rsidP="00044F29">
      <w:pPr>
        <w:numPr>
          <w:ilvl w:val="0"/>
          <w:numId w:val="4"/>
        </w:numPr>
        <w:ind w:left="0" w:firstLine="0"/>
        <w:rPr>
          <w:rFonts w:asciiTheme="majorBidi" w:hAnsiTheme="majorBidi" w:cstheme="majorBidi"/>
          <w:sz w:val="32"/>
          <w:szCs w:val="32"/>
        </w:rPr>
      </w:pPr>
      <w:r w:rsidRPr="00044F29">
        <w:rPr>
          <w:rFonts w:asciiTheme="majorBidi" w:hAnsiTheme="majorBidi" w:cstheme="majorBidi"/>
          <w:sz w:val="32"/>
          <w:szCs w:val="32"/>
        </w:rPr>
        <w:t>Chile, 2023: Historic Carménère vines, believed extinct until rediscovered in the 1990s, were damaged by wildfire.</w:t>
      </w:r>
    </w:p>
    <w:p w14:paraId="5661E4F7"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Climate models warn Napa Valley could lose up to 50% of its wine grape output by 2100 due to heat and drought.</w:t>
      </w:r>
    </w:p>
    <w:p w14:paraId="0499B40C"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i/>
          <w:iCs/>
          <w:sz w:val="32"/>
          <w:szCs w:val="32"/>
        </w:rPr>
        <w:lastRenderedPageBreak/>
        <w:t>“We’re farming on borrowed time,”</w:t>
      </w:r>
      <w:r w:rsidRPr="00044F29">
        <w:rPr>
          <w:rFonts w:asciiTheme="majorBidi" w:hAnsiTheme="majorBidi" w:cstheme="majorBidi"/>
          <w:sz w:val="32"/>
          <w:szCs w:val="32"/>
        </w:rPr>
        <w:t xml:space="preserve"> says Dr. Kimberly Nicholas of UC Davis.</w:t>
      </w:r>
    </w:p>
    <w:p w14:paraId="179CDB72"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pict w14:anchorId="126C9C38">
          <v:rect id="_x0000_i1509" style="width:0;height:1.5pt" o:hralign="center" o:hrstd="t" o:hr="t" fillcolor="#a0a0a0" stroked="f"/>
        </w:pict>
      </w:r>
    </w:p>
    <w:p w14:paraId="779B68E5" w14:textId="14755A0A"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Toward Ethical Terroir</w:t>
      </w:r>
    </w:p>
    <w:p w14:paraId="20141A25"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 xml:space="preserve">Some in the industry are working to break the cycle. Napa’s </w:t>
      </w:r>
      <w:proofErr w:type="spellStart"/>
      <w:r w:rsidRPr="00044F29">
        <w:rPr>
          <w:rFonts w:asciiTheme="majorBidi" w:hAnsiTheme="majorBidi" w:cstheme="majorBidi"/>
          <w:sz w:val="32"/>
          <w:szCs w:val="32"/>
        </w:rPr>
        <w:t>Staglin</w:t>
      </w:r>
      <w:proofErr w:type="spellEnd"/>
      <w:r w:rsidRPr="00044F29">
        <w:rPr>
          <w:rFonts w:asciiTheme="majorBidi" w:hAnsiTheme="majorBidi" w:cstheme="majorBidi"/>
          <w:sz w:val="32"/>
          <w:szCs w:val="32"/>
        </w:rPr>
        <w:t xml:space="preserve"> Family Vineyard funds mental health programs for farmworkers. Portland’s </w:t>
      </w:r>
      <w:proofErr w:type="spellStart"/>
      <w:r w:rsidRPr="00044F29">
        <w:rPr>
          <w:rFonts w:asciiTheme="majorBidi" w:hAnsiTheme="majorBidi" w:cstheme="majorBidi"/>
          <w:sz w:val="32"/>
          <w:szCs w:val="32"/>
        </w:rPr>
        <w:t>Langbaan</w:t>
      </w:r>
      <w:proofErr w:type="spellEnd"/>
      <w:r w:rsidRPr="00044F29">
        <w:rPr>
          <w:rFonts w:asciiTheme="majorBidi" w:hAnsiTheme="majorBidi" w:cstheme="majorBidi"/>
          <w:sz w:val="32"/>
          <w:szCs w:val="32"/>
        </w:rPr>
        <w:t xml:space="preserve"> restaurant pairs local wines with Thai cuisine, using the pairing to spotlight the overlooked stories of vineyard laborers.</w:t>
      </w:r>
    </w:p>
    <w:p w14:paraId="3E3BC825"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 xml:space="preserve">Jairo Torres, a former vineyard worker turned sommelier, runs workshops teaching laborers the history of the land they work. His nonprofit, </w:t>
      </w:r>
      <w:proofErr w:type="spellStart"/>
      <w:r w:rsidRPr="00044F29">
        <w:rPr>
          <w:rFonts w:asciiTheme="majorBidi" w:hAnsiTheme="majorBidi" w:cstheme="majorBidi"/>
          <w:sz w:val="32"/>
          <w:szCs w:val="32"/>
        </w:rPr>
        <w:t>Raíces</w:t>
      </w:r>
      <w:proofErr w:type="spellEnd"/>
      <w:r w:rsidRPr="00044F29">
        <w:rPr>
          <w:rFonts w:asciiTheme="majorBidi" w:hAnsiTheme="majorBidi" w:cstheme="majorBidi"/>
          <w:sz w:val="32"/>
          <w:szCs w:val="32"/>
        </w:rPr>
        <w:t xml:space="preserve"> del Vino, offers scholarships for farmworkers' children.</w:t>
      </w:r>
    </w:p>
    <w:p w14:paraId="167A10F4"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i/>
          <w:iCs/>
          <w:sz w:val="32"/>
          <w:szCs w:val="32"/>
        </w:rPr>
        <w:t>“If the soil remembers everything, then we should too,”</w:t>
      </w:r>
      <w:r w:rsidRPr="00044F29">
        <w:rPr>
          <w:rFonts w:asciiTheme="majorBidi" w:hAnsiTheme="majorBidi" w:cstheme="majorBidi"/>
          <w:sz w:val="32"/>
          <w:szCs w:val="32"/>
        </w:rPr>
        <w:t xml:space="preserve"> Torres says.</w:t>
      </w:r>
      <w:r w:rsidRPr="00044F29">
        <w:rPr>
          <w:rFonts w:asciiTheme="majorBidi" w:hAnsiTheme="majorBidi" w:cstheme="majorBidi"/>
          <w:sz w:val="32"/>
          <w:szCs w:val="32"/>
        </w:rPr>
        <w:br/>
      </w:r>
      <w:r w:rsidRPr="00044F29">
        <w:rPr>
          <w:rFonts w:asciiTheme="majorBidi" w:hAnsiTheme="majorBidi" w:cstheme="majorBidi"/>
          <w:i/>
          <w:iCs/>
          <w:sz w:val="32"/>
          <w:szCs w:val="32"/>
        </w:rPr>
        <w:t>“We need to stop drinking like history doesn’t matter.”</w:t>
      </w:r>
    </w:p>
    <w:p w14:paraId="63E92E7D"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pict w14:anchorId="6BB1D520">
          <v:rect id="_x0000_i1510" style="width:0;height:1.5pt" o:hralign="center" o:hrstd="t" o:hr="t" fillcolor="#a0a0a0" stroked="f"/>
        </w:pict>
      </w:r>
    </w:p>
    <w:p w14:paraId="65050D78" w14:textId="77777777"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Final Toast:</w:t>
      </w:r>
    </w:p>
    <w:p w14:paraId="03A9670D" w14:textId="0DE2AFB4" w:rsidR="00044F29" w:rsidRPr="00044F29" w:rsidRDefault="00044F29" w:rsidP="00044F29">
      <w:pPr>
        <w:ind w:left="0" w:firstLine="0"/>
        <w:rPr>
          <w:rFonts w:asciiTheme="majorBidi" w:hAnsiTheme="majorBidi" w:cstheme="majorBidi"/>
          <w:b/>
          <w:bCs/>
          <w:sz w:val="32"/>
          <w:szCs w:val="32"/>
        </w:rPr>
      </w:pPr>
      <w:r w:rsidRPr="00044F29">
        <w:rPr>
          <w:rFonts w:asciiTheme="majorBidi" w:hAnsiTheme="majorBidi" w:cstheme="majorBidi"/>
          <w:b/>
          <w:bCs/>
          <w:sz w:val="32"/>
          <w:szCs w:val="32"/>
        </w:rPr>
        <w:t>Sipping Through the Smoke</w:t>
      </w:r>
    </w:p>
    <w:p w14:paraId="14E317F2"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Every bottle of California wine carries two stories: one of beauty and one of loss. From the blood-soaked soil of the missions to the charred remains of the Wines Central fire, these threads are inseparable.</w:t>
      </w:r>
    </w:p>
    <w:p w14:paraId="671A578F"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i/>
          <w:iCs/>
          <w:sz w:val="32"/>
          <w:szCs w:val="32"/>
        </w:rPr>
        <w:t>“Wine is the only artwork you can drink,”</w:t>
      </w:r>
      <w:r w:rsidRPr="00044F29">
        <w:rPr>
          <w:rFonts w:asciiTheme="majorBidi" w:hAnsiTheme="majorBidi" w:cstheme="majorBidi"/>
          <w:sz w:val="32"/>
          <w:szCs w:val="32"/>
        </w:rPr>
        <w:t xml:space="preserve"> philosopher Ludwig Feuerbach once said.</w:t>
      </w:r>
    </w:p>
    <w:p w14:paraId="789DEF13" w14:textId="77777777" w:rsidR="00044F29" w:rsidRPr="00044F29" w:rsidRDefault="00044F29" w:rsidP="00044F29">
      <w:pPr>
        <w:ind w:left="0" w:firstLine="0"/>
        <w:rPr>
          <w:rFonts w:asciiTheme="majorBidi" w:hAnsiTheme="majorBidi" w:cstheme="majorBidi"/>
          <w:sz w:val="32"/>
          <w:szCs w:val="32"/>
        </w:rPr>
      </w:pPr>
      <w:r w:rsidRPr="00044F29">
        <w:rPr>
          <w:rFonts w:asciiTheme="majorBidi" w:hAnsiTheme="majorBidi" w:cstheme="majorBidi"/>
          <w:sz w:val="32"/>
          <w:szCs w:val="32"/>
        </w:rPr>
        <w:t>In California, it’s also a mirror—reflecting who we were, who we are, and who we might yet become.</w:t>
      </w:r>
    </w:p>
    <w:p w14:paraId="7BB1D598" w14:textId="77777777" w:rsidR="00FB5B6C" w:rsidRPr="00044F29" w:rsidRDefault="00FB5B6C" w:rsidP="00044F29">
      <w:pPr>
        <w:ind w:left="0" w:firstLine="0"/>
        <w:rPr>
          <w:rFonts w:asciiTheme="majorBidi" w:hAnsiTheme="majorBidi" w:cstheme="majorBidi"/>
          <w:sz w:val="32"/>
          <w:szCs w:val="32"/>
        </w:rPr>
      </w:pPr>
    </w:p>
    <w:sectPr w:rsidR="00FB5B6C" w:rsidRPr="00044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2BA0"/>
    <w:multiLevelType w:val="multilevel"/>
    <w:tmpl w:val="C8F8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B6D08"/>
    <w:multiLevelType w:val="multilevel"/>
    <w:tmpl w:val="14C0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96872"/>
    <w:multiLevelType w:val="multilevel"/>
    <w:tmpl w:val="30DA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8017C"/>
    <w:multiLevelType w:val="multilevel"/>
    <w:tmpl w:val="55A2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869522">
    <w:abstractNumId w:val="1"/>
  </w:num>
  <w:num w:numId="2" w16cid:durableId="966350470">
    <w:abstractNumId w:val="3"/>
  </w:num>
  <w:num w:numId="3" w16cid:durableId="374277583">
    <w:abstractNumId w:val="0"/>
  </w:num>
  <w:num w:numId="4" w16cid:durableId="1992445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96"/>
    <w:rsid w:val="00044F29"/>
    <w:rsid w:val="000E509C"/>
    <w:rsid w:val="00143158"/>
    <w:rsid w:val="008D3D73"/>
    <w:rsid w:val="00CF6C96"/>
    <w:rsid w:val="00D370A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7A8D"/>
  <w15:chartTrackingRefBased/>
  <w15:docId w15:val="{A7375275-27A8-41A3-8FF9-66FF2145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C96"/>
    <w:rPr>
      <w:rFonts w:eastAsiaTheme="majorEastAsia" w:cstheme="majorBidi"/>
      <w:color w:val="272727" w:themeColor="text1" w:themeTint="D8"/>
    </w:rPr>
  </w:style>
  <w:style w:type="paragraph" w:styleId="Title">
    <w:name w:val="Title"/>
    <w:basedOn w:val="Normal"/>
    <w:next w:val="Normal"/>
    <w:link w:val="TitleChar"/>
    <w:uiPriority w:val="10"/>
    <w:qFormat/>
    <w:rsid w:val="00CF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C9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C96"/>
    <w:pPr>
      <w:spacing w:before="160"/>
      <w:jc w:val="center"/>
    </w:pPr>
    <w:rPr>
      <w:i/>
      <w:iCs/>
      <w:color w:val="404040" w:themeColor="text1" w:themeTint="BF"/>
    </w:rPr>
  </w:style>
  <w:style w:type="character" w:customStyle="1" w:styleId="QuoteChar">
    <w:name w:val="Quote Char"/>
    <w:basedOn w:val="DefaultParagraphFont"/>
    <w:link w:val="Quote"/>
    <w:uiPriority w:val="29"/>
    <w:rsid w:val="00CF6C96"/>
    <w:rPr>
      <w:i/>
      <w:iCs/>
      <w:color w:val="404040" w:themeColor="text1" w:themeTint="BF"/>
    </w:rPr>
  </w:style>
  <w:style w:type="paragraph" w:styleId="ListParagraph">
    <w:name w:val="List Paragraph"/>
    <w:basedOn w:val="Normal"/>
    <w:uiPriority w:val="34"/>
    <w:qFormat/>
    <w:rsid w:val="00CF6C96"/>
    <w:pPr>
      <w:ind w:left="720"/>
      <w:contextualSpacing/>
    </w:pPr>
  </w:style>
  <w:style w:type="character" w:styleId="IntenseEmphasis">
    <w:name w:val="Intense Emphasis"/>
    <w:basedOn w:val="DefaultParagraphFont"/>
    <w:uiPriority w:val="21"/>
    <w:qFormat/>
    <w:rsid w:val="00CF6C96"/>
    <w:rPr>
      <w:i/>
      <w:iCs/>
      <w:color w:val="2F5496" w:themeColor="accent1" w:themeShade="BF"/>
    </w:rPr>
  </w:style>
  <w:style w:type="paragraph" w:styleId="IntenseQuote">
    <w:name w:val="Intense Quote"/>
    <w:basedOn w:val="Normal"/>
    <w:next w:val="Normal"/>
    <w:link w:val="IntenseQuoteChar"/>
    <w:uiPriority w:val="30"/>
    <w:qFormat/>
    <w:rsid w:val="00CF6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C96"/>
    <w:rPr>
      <w:i/>
      <w:iCs/>
      <w:color w:val="2F5496" w:themeColor="accent1" w:themeShade="BF"/>
    </w:rPr>
  </w:style>
  <w:style w:type="character" w:styleId="IntenseReference">
    <w:name w:val="Intense Reference"/>
    <w:basedOn w:val="DefaultParagraphFont"/>
    <w:uiPriority w:val="32"/>
    <w:qFormat/>
    <w:rsid w:val="00CF6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9410">
      <w:bodyDiv w:val="1"/>
      <w:marLeft w:val="0"/>
      <w:marRight w:val="0"/>
      <w:marTop w:val="0"/>
      <w:marBottom w:val="0"/>
      <w:divBdr>
        <w:top w:val="none" w:sz="0" w:space="0" w:color="auto"/>
        <w:left w:val="none" w:sz="0" w:space="0" w:color="auto"/>
        <w:bottom w:val="none" w:sz="0" w:space="0" w:color="auto"/>
        <w:right w:val="none" w:sz="0" w:space="0" w:color="auto"/>
      </w:divBdr>
    </w:div>
    <w:div w:id="589891640">
      <w:bodyDiv w:val="1"/>
      <w:marLeft w:val="0"/>
      <w:marRight w:val="0"/>
      <w:marTop w:val="0"/>
      <w:marBottom w:val="0"/>
      <w:divBdr>
        <w:top w:val="none" w:sz="0" w:space="0" w:color="auto"/>
        <w:left w:val="none" w:sz="0" w:space="0" w:color="auto"/>
        <w:bottom w:val="none" w:sz="0" w:space="0" w:color="auto"/>
        <w:right w:val="none" w:sz="0" w:space="0" w:color="auto"/>
      </w:divBdr>
    </w:div>
    <w:div w:id="592711857">
      <w:bodyDiv w:val="1"/>
      <w:marLeft w:val="0"/>
      <w:marRight w:val="0"/>
      <w:marTop w:val="0"/>
      <w:marBottom w:val="0"/>
      <w:divBdr>
        <w:top w:val="none" w:sz="0" w:space="0" w:color="auto"/>
        <w:left w:val="none" w:sz="0" w:space="0" w:color="auto"/>
        <w:bottom w:val="none" w:sz="0" w:space="0" w:color="auto"/>
        <w:right w:val="none" w:sz="0" w:space="0" w:color="auto"/>
      </w:divBdr>
    </w:div>
    <w:div w:id="903183780">
      <w:bodyDiv w:val="1"/>
      <w:marLeft w:val="0"/>
      <w:marRight w:val="0"/>
      <w:marTop w:val="0"/>
      <w:marBottom w:val="0"/>
      <w:divBdr>
        <w:top w:val="none" w:sz="0" w:space="0" w:color="auto"/>
        <w:left w:val="none" w:sz="0" w:space="0" w:color="auto"/>
        <w:bottom w:val="none" w:sz="0" w:space="0" w:color="auto"/>
        <w:right w:val="none" w:sz="0" w:space="0" w:color="auto"/>
      </w:divBdr>
      <w:divsChild>
        <w:div w:id="62588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07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65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922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111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87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4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24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965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177904">
      <w:bodyDiv w:val="1"/>
      <w:marLeft w:val="0"/>
      <w:marRight w:val="0"/>
      <w:marTop w:val="0"/>
      <w:marBottom w:val="0"/>
      <w:divBdr>
        <w:top w:val="none" w:sz="0" w:space="0" w:color="auto"/>
        <w:left w:val="none" w:sz="0" w:space="0" w:color="auto"/>
        <w:bottom w:val="none" w:sz="0" w:space="0" w:color="auto"/>
        <w:right w:val="none" w:sz="0" w:space="0" w:color="auto"/>
      </w:divBdr>
    </w:div>
    <w:div w:id="1223754125">
      <w:bodyDiv w:val="1"/>
      <w:marLeft w:val="0"/>
      <w:marRight w:val="0"/>
      <w:marTop w:val="0"/>
      <w:marBottom w:val="0"/>
      <w:divBdr>
        <w:top w:val="none" w:sz="0" w:space="0" w:color="auto"/>
        <w:left w:val="none" w:sz="0" w:space="0" w:color="auto"/>
        <w:bottom w:val="none" w:sz="0" w:space="0" w:color="auto"/>
        <w:right w:val="none" w:sz="0" w:space="0" w:color="auto"/>
      </w:divBdr>
      <w:divsChild>
        <w:div w:id="174675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29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17854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5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559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10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275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367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519296">
      <w:bodyDiv w:val="1"/>
      <w:marLeft w:val="0"/>
      <w:marRight w:val="0"/>
      <w:marTop w:val="0"/>
      <w:marBottom w:val="0"/>
      <w:divBdr>
        <w:top w:val="none" w:sz="0" w:space="0" w:color="auto"/>
        <w:left w:val="none" w:sz="0" w:space="0" w:color="auto"/>
        <w:bottom w:val="none" w:sz="0" w:space="0" w:color="auto"/>
        <w:right w:val="none" w:sz="0" w:space="0" w:color="auto"/>
      </w:divBdr>
    </w:div>
    <w:div w:id="179347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2025-05-10T00:37:00Z</dcterms:created>
  <dcterms:modified xsi:type="dcterms:W3CDTF">2025-05-10T01:15:00Z</dcterms:modified>
</cp:coreProperties>
</file>