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FD7CAF" w14:textId="3D3BBDF7" w:rsidR="00DE3B04" w:rsidRPr="00DE3B04" w:rsidRDefault="00DE3B04" w:rsidP="00DE3B04">
      <w:pPr>
        <w:rPr>
          <w:rFonts w:ascii="Times New Roman" w:hAnsi="Times New Roman" w:cs="Times New Roman"/>
          <w:sz w:val="36"/>
          <w:szCs w:val="36"/>
        </w:rPr>
      </w:pPr>
      <w:r w:rsidRPr="00DE3B04">
        <w:rPr>
          <w:rFonts w:ascii="Times New Roman" w:hAnsi="Times New Roman" w:cs="Times New Roman"/>
          <w:b/>
          <w:bCs/>
          <w:sz w:val="36"/>
          <w:szCs w:val="36"/>
        </w:rPr>
        <w:t>Bordeaux: The Benchmark of Fine Wine</w:t>
      </w:r>
    </w:p>
    <w:p w14:paraId="46A54F38" w14:textId="6C7631CA" w:rsidR="00DE3B04" w:rsidRPr="00DE3B04" w:rsidRDefault="00DE3B04" w:rsidP="00DE3B04">
      <w:pPr>
        <w:rPr>
          <w:rFonts w:ascii="Times New Roman" w:hAnsi="Times New Roman" w:cs="Times New Roman"/>
          <w:b/>
          <w:bCs/>
          <w:sz w:val="36"/>
          <w:szCs w:val="36"/>
        </w:rPr>
      </w:pPr>
      <w:r w:rsidRPr="00DE3B04">
        <w:rPr>
          <w:rFonts w:ascii="Times New Roman" w:hAnsi="Times New Roman" w:cs="Times New Roman"/>
          <w:b/>
          <w:bCs/>
          <w:sz w:val="36"/>
          <w:szCs w:val="36"/>
        </w:rPr>
        <w:t>Overview</w:t>
      </w:r>
    </w:p>
    <w:p w14:paraId="4EDCE4BE" w14:textId="74B14F6F" w:rsidR="00DE3B04" w:rsidRPr="00DE3B04" w:rsidRDefault="00DE3B04" w:rsidP="00DE3B04">
      <w:pPr>
        <w:rPr>
          <w:rFonts w:ascii="Times New Roman" w:hAnsi="Times New Roman" w:cs="Times New Roman"/>
          <w:sz w:val="36"/>
          <w:szCs w:val="36"/>
        </w:rPr>
      </w:pPr>
      <w:r w:rsidRPr="00DE3B04">
        <w:rPr>
          <w:rFonts w:ascii="Times New Roman" w:hAnsi="Times New Roman" w:cs="Times New Roman"/>
          <w:sz w:val="36"/>
          <w:szCs w:val="36"/>
        </w:rPr>
        <w:t>Bordeaux is arguably the most prestigious and influential wine region in the world. Located in southwestern France, it is renowned for producing some of the finest red and white wines, with a complex classification system and a tradition dating back centuries. Bordeaux’s wines are celebrated for their structure, aging potential, and balance, making the region a cornerstone of sommelier education.</w:t>
      </w:r>
    </w:p>
    <w:p w14:paraId="0B403F38" w14:textId="19AE3888" w:rsidR="00DE3B04" w:rsidRPr="00DE3B04" w:rsidRDefault="0000135A" w:rsidP="00DE3B04">
      <w:pPr>
        <w:rPr>
          <w:rFonts w:ascii="Times New Roman" w:hAnsi="Times New Roman" w:cs="Times New Roman"/>
          <w:b/>
          <w:bCs/>
          <w:sz w:val="36"/>
          <w:szCs w:val="36"/>
        </w:rPr>
      </w:pPr>
      <w:r>
        <w:rPr>
          <w:noProof/>
        </w:rPr>
        <mc:AlternateContent>
          <mc:Choice Requires="wps">
            <w:drawing>
              <wp:anchor distT="0" distB="0" distL="114300" distR="114300" simplePos="0" relativeHeight="251661312" behindDoc="0" locked="0" layoutInCell="1" allowOverlap="1" wp14:anchorId="4BBB6D55" wp14:editId="422F0D4A">
                <wp:simplePos x="0" y="0"/>
                <wp:positionH relativeFrom="column">
                  <wp:posOffset>-247650</wp:posOffset>
                </wp:positionH>
                <wp:positionV relativeFrom="paragraph">
                  <wp:posOffset>3871595</wp:posOffset>
                </wp:positionV>
                <wp:extent cx="2533650" cy="635"/>
                <wp:effectExtent l="0" t="0" r="0" b="0"/>
                <wp:wrapSquare wrapText="bothSides"/>
                <wp:docPr id="2003881306" name="Text Box 1"/>
                <wp:cNvGraphicFramePr/>
                <a:graphic xmlns:a="http://schemas.openxmlformats.org/drawingml/2006/main">
                  <a:graphicData uri="http://schemas.microsoft.com/office/word/2010/wordprocessingShape">
                    <wps:wsp>
                      <wps:cNvSpPr txBox="1"/>
                      <wps:spPr>
                        <a:xfrm>
                          <a:off x="0" y="0"/>
                          <a:ext cx="2533650" cy="635"/>
                        </a:xfrm>
                        <a:prstGeom prst="rect">
                          <a:avLst/>
                        </a:prstGeom>
                        <a:solidFill>
                          <a:prstClr val="white"/>
                        </a:solidFill>
                        <a:ln>
                          <a:noFill/>
                        </a:ln>
                      </wps:spPr>
                      <wps:txbx>
                        <w:txbxContent>
                          <w:p w14:paraId="52B20D4B" w14:textId="642AAC93" w:rsidR="0000135A" w:rsidRPr="0000135A" w:rsidRDefault="0000135A" w:rsidP="0000135A">
                            <w:pPr>
                              <w:pStyle w:val="Caption"/>
                              <w:jc w:val="center"/>
                              <w:rPr>
                                <w:rFonts w:ascii="Times New Roman" w:hAnsi="Times New Roman" w:cs="Times New Roman"/>
                                <w:sz w:val="48"/>
                                <w:szCs w:val="48"/>
                              </w:rPr>
                            </w:pPr>
                            <w:r w:rsidRPr="0000135A">
                              <w:rPr>
                                <w:sz w:val="24"/>
                                <w:szCs w:val="24"/>
                              </w:rPr>
                              <w:t xml:space="preserve">Figure </w:t>
                            </w:r>
                            <w:r w:rsidRPr="0000135A">
                              <w:rPr>
                                <w:sz w:val="24"/>
                                <w:szCs w:val="24"/>
                              </w:rPr>
                              <w:fldChar w:fldCharType="begin"/>
                            </w:r>
                            <w:r w:rsidRPr="0000135A">
                              <w:rPr>
                                <w:sz w:val="24"/>
                                <w:szCs w:val="24"/>
                              </w:rPr>
                              <w:instrText xml:space="preserve"> SEQ Figure \* ARABIC </w:instrText>
                            </w:r>
                            <w:r w:rsidRPr="0000135A">
                              <w:rPr>
                                <w:sz w:val="24"/>
                                <w:szCs w:val="24"/>
                              </w:rPr>
                              <w:fldChar w:fldCharType="separate"/>
                            </w:r>
                            <w:r w:rsidR="00DB5EB1">
                              <w:rPr>
                                <w:noProof/>
                                <w:sz w:val="24"/>
                                <w:szCs w:val="24"/>
                              </w:rPr>
                              <w:t>1</w:t>
                            </w:r>
                            <w:r w:rsidRPr="0000135A">
                              <w:rPr>
                                <w:sz w:val="24"/>
                                <w:szCs w:val="24"/>
                              </w:rPr>
                              <w:fldChar w:fldCharType="end"/>
                            </w:r>
                            <w:r w:rsidRPr="0000135A">
                              <w:rPr>
                                <w:sz w:val="24"/>
                                <w:szCs w:val="24"/>
                              </w:rPr>
                              <w:t xml:space="preserve"> Bordeaux 1855 Classification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BBB6D55" id="_x0000_t202" coordsize="21600,21600" o:spt="202" path="m,l,21600r21600,l21600,xe">
                <v:stroke joinstyle="miter"/>
                <v:path gradientshapeok="t" o:connecttype="rect"/>
              </v:shapetype>
              <v:shape id="Text Box 1" o:spid="_x0000_s1026" type="#_x0000_t202" style="position:absolute;margin-left:-19.5pt;margin-top:304.85pt;width:199.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" stroked="f">
                <v:textbox style="mso-fit-shape-to-text:t" inset="0,0,0,0">
                  <w:txbxContent>
                    <w:p w14:paraId="52B20D4B" w14:textId="642AAC93" w:rsidR="0000135A" w:rsidRPr="0000135A" w:rsidRDefault="0000135A" w:rsidP="0000135A">
                      <w:pPr>
                        <w:pStyle w:val="Caption"/>
                        <w:jc w:val="center"/>
                        <w:rPr>
                          <w:rFonts w:ascii="Times New Roman" w:hAnsi="Times New Roman" w:cs="Times New Roman"/>
                          <w:sz w:val="48"/>
                          <w:szCs w:val="48"/>
                        </w:rPr>
                      </w:pPr>
                      <w:r w:rsidRPr="0000135A">
                        <w:rPr>
                          <w:sz w:val="24"/>
                          <w:szCs w:val="24"/>
                        </w:rPr>
                        <w:t xml:space="preserve">Figure </w:t>
                      </w:r>
                      <w:r w:rsidRPr="0000135A">
                        <w:rPr>
                          <w:sz w:val="24"/>
                          <w:szCs w:val="24"/>
                        </w:rPr>
                        <w:fldChar w:fldCharType="begin"/>
                      </w:r>
                      <w:r w:rsidRPr="0000135A">
                        <w:rPr>
                          <w:sz w:val="24"/>
                          <w:szCs w:val="24"/>
                        </w:rPr>
                        <w:instrText xml:space="preserve"> SEQ Figure \* ARABIC </w:instrText>
                      </w:r>
                      <w:r w:rsidRPr="0000135A">
                        <w:rPr>
                          <w:sz w:val="24"/>
                          <w:szCs w:val="24"/>
                        </w:rPr>
                        <w:fldChar w:fldCharType="separate"/>
                      </w:r>
                      <w:r w:rsidR="00DB5EB1">
                        <w:rPr>
                          <w:noProof/>
                          <w:sz w:val="24"/>
                          <w:szCs w:val="24"/>
                        </w:rPr>
                        <w:t>1</w:t>
                      </w:r>
                      <w:r w:rsidRPr="0000135A">
                        <w:rPr>
                          <w:sz w:val="24"/>
                          <w:szCs w:val="24"/>
                        </w:rPr>
                        <w:fldChar w:fldCharType="end"/>
                      </w:r>
                      <w:r w:rsidRPr="0000135A">
                        <w:rPr>
                          <w:sz w:val="24"/>
                          <w:szCs w:val="24"/>
                        </w:rPr>
                        <w:t xml:space="preserve"> Bordeaux 1855 Classification</w:t>
                      </w:r>
                    </w:p>
                  </w:txbxContent>
                </v:textbox>
                <w10:wrap type="square"/>
              </v:shape>
            </w:pict>
          </mc:Fallback>
        </mc:AlternateContent>
      </w:r>
      <w:r w:rsidRPr="0000135A">
        <w:rPr>
          <w:rFonts w:ascii="Times New Roman" w:hAnsi="Times New Roman" w:cs="Times New Roman"/>
          <w:noProof/>
          <w:sz w:val="36"/>
          <w:szCs w:val="36"/>
        </w:rPr>
        <w:drawing>
          <wp:anchor distT="0" distB="0" distL="114300" distR="114300" simplePos="0" relativeHeight="251659264" behindDoc="0" locked="0" layoutInCell="1" allowOverlap="1" wp14:anchorId="6F829459" wp14:editId="4C9DB3BB">
            <wp:simplePos x="0" y="0"/>
            <wp:positionH relativeFrom="column">
              <wp:posOffset>-247650</wp:posOffset>
            </wp:positionH>
            <wp:positionV relativeFrom="paragraph">
              <wp:posOffset>13970</wp:posOffset>
            </wp:positionV>
            <wp:extent cx="2533650" cy="3800475"/>
            <wp:effectExtent l="0" t="0" r="0" b="9525"/>
            <wp:wrapSquare wrapText="bothSides"/>
            <wp:docPr id="3184650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33650" cy="3800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3B04" w:rsidRPr="00DE3B04">
        <w:rPr>
          <w:rFonts w:ascii="Times New Roman" w:hAnsi="Times New Roman" w:cs="Times New Roman"/>
          <w:b/>
          <w:bCs/>
          <w:sz w:val="36"/>
          <w:szCs w:val="36"/>
        </w:rPr>
        <w:t>Historical Background</w:t>
      </w:r>
    </w:p>
    <w:p w14:paraId="3AC5F3ED" w14:textId="3AB1402B" w:rsidR="00DE3B04" w:rsidRPr="00DE3B04" w:rsidRDefault="00DE3B04" w:rsidP="00DE3B04">
      <w:pPr>
        <w:rPr>
          <w:rFonts w:ascii="Times New Roman" w:hAnsi="Times New Roman" w:cs="Times New Roman"/>
          <w:sz w:val="36"/>
          <w:szCs w:val="36"/>
        </w:rPr>
      </w:pPr>
      <w:r w:rsidRPr="00DE3B04">
        <w:rPr>
          <w:rFonts w:ascii="Times New Roman" w:hAnsi="Times New Roman" w:cs="Times New Roman"/>
          <w:sz w:val="36"/>
          <w:szCs w:val="36"/>
        </w:rPr>
        <w:t xml:space="preserve">Winemaking in Bordeaux dates back to </w:t>
      </w:r>
      <w:r w:rsidRPr="00DE3B04">
        <w:rPr>
          <w:rFonts w:ascii="Times New Roman" w:hAnsi="Times New Roman" w:cs="Times New Roman"/>
          <w:b/>
          <w:bCs/>
          <w:sz w:val="36"/>
          <w:szCs w:val="36"/>
        </w:rPr>
        <w:t>Roman times</w:t>
      </w:r>
      <w:r w:rsidRPr="00DE3B04">
        <w:rPr>
          <w:rFonts w:ascii="Times New Roman" w:hAnsi="Times New Roman" w:cs="Times New Roman"/>
          <w:sz w:val="36"/>
          <w:szCs w:val="36"/>
        </w:rPr>
        <w:t xml:space="preserve">, with vineyards established as early as the </w:t>
      </w:r>
      <w:r w:rsidRPr="00DE3B04">
        <w:rPr>
          <w:rFonts w:ascii="Times New Roman" w:hAnsi="Times New Roman" w:cs="Times New Roman"/>
          <w:b/>
          <w:bCs/>
          <w:sz w:val="36"/>
          <w:szCs w:val="36"/>
        </w:rPr>
        <w:t>first century AD</w:t>
      </w:r>
      <w:r w:rsidRPr="00DE3B04">
        <w:rPr>
          <w:rFonts w:ascii="Times New Roman" w:hAnsi="Times New Roman" w:cs="Times New Roman"/>
          <w:sz w:val="36"/>
          <w:szCs w:val="36"/>
        </w:rPr>
        <w:t xml:space="preserve">. The region flourished under English rule in the </w:t>
      </w:r>
      <w:r w:rsidRPr="00DE3B04">
        <w:rPr>
          <w:rFonts w:ascii="Times New Roman" w:hAnsi="Times New Roman" w:cs="Times New Roman"/>
          <w:b/>
          <w:bCs/>
          <w:sz w:val="36"/>
          <w:szCs w:val="36"/>
        </w:rPr>
        <w:t>12th century</w:t>
      </w:r>
      <w:r w:rsidRPr="00DE3B04">
        <w:rPr>
          <w:rFonts w:ascii="Times New Roman" w:hAnsi="Times New Roman" w:cs="Times New Roman"/>
          <w:sz w:val="36"/>
          <w:szCs w:val="36"/>
        </w:rPr>
        <w:t xml:space="preserve">, with Bordeaux wines becoming a favorite of the British aristocracy. </w:t>
      </w:r>
      <w:r w:rsidR="0000135A" w:rsidRPr="0000135A">
        <w:rPr>
          <w:rFonts w:ascii="Times New Roman" w:hAnsi="Times New Roman" w:cs="Times New Roman"/>
          <w:sz w:val="36"/>
          <w:szCs w:val="36"/>
        </w:rPr>
        <w:t xml:space="preserve"> </w:t>
      </w:r>
      <w:r w:rsidRPr="00DE3B04">
        <w:rPr>
          <w:rFonts w:ascii="Times New Roman" w:hAnsi="Times New Roman" w:cs="Times New Roman"/>
          <w:sz w:val="36"/>
          <w:szCs w:val="36"/>
        </w:rPr>
        <w:t xml:space="preserve">The </w:t>
      </w:r>
      <w:r w:rsidRPr="00DE3B04">
        <w:rPr>
          <w:rFonts w:ascii="Times New Roman" w:hAnsi="Times New Roman" w:cs="Times New Roman"/>
          <w:b/>
          <w:bCs/>
          <w:sz w:val="36"/>
          <w:szCs w:val="36"/>
        </w:rPr>
        <w:t>1855 Classification</w:t>
      </w:r>
      <w:r w:rsidRPr="00DE3B04">
        <w:rPr>
          <w:rFonts w:ascii="Times New Roman" w:hAnsi="Times New Roman" w:cs="Times New Roman"/>
          <w:sz w:val="36"/>
          <w:szCs w:val="36"/>
        </w:rPr>
        <w:t>, ordered by Napoleon III, further solidified Bordeaux’s reputation, ranking the top Médoc and Sauternes estates. Today, Bordeaux continues to set the standard for fine wine worldwide, with both traditional and innovative winemaking techniques.</w:t>
      </w:r>
    </w:p>
    <w:p w14:paraId="572BA7DC" w14:textId="77777777" w:rsidR="00DE3B04" w:rsidRPr="00DE3B04" w:rsidRDefault="00DE3B04" w:rsidP="00DE3B04">
      <w:pPr>
        <w:rPr>
          <w:rFonts w:ascii="Times New Roman" w:hAnsi="Times New Roman" w:cs="Times New Roman"/>
          <w:b/>
          <w:bCs/>
          <w:sz w:val="36"/>
          <w:szCs w:val="36"/>
        </w:rPr>
      </w:pPr>
      <w:r w:rsidRPr="00DE3B04">
        <w:rPr>
          <w:rFonts w:ascii="Times New Roman" w:hAnsi="Times New Roman" w:cs="Times New Roman"/>
          <w:b/>
          <w:bCs/>
          <w:sz w:val="36"/>
          <w:szCs w:val="36"/>
        </w:rPr>
        <w:lastRenderedPageBreak/>
        <w:t>Classification System</w:t>
      </w:r>
    </w:p>
    <w:p w14:paraId="40D377D1" w14:textId="77777777" w:rsidR="00DE3B04" w:rsidRPr="00DE3B04" w:rsidRDefault="00DE3B04" w:rsidP="00DE3B04">
      <w:pPr>
        <w:rPr>
          <w:rFonts w:ascii="Times New Roman" w:hAnsi="Times New Roman" w:cs="Times New Roman"/>
          <w:sz w:val="36"/>
          <w:szCs w:val="36"/>
        </w:rPr>
      </w:pPr>
      <w:r w:rsidRPr="00DE3B04">
        <w:rPr>
          <w:rFonts w:ascii="Times New Roman" w:hAnsi="Times New Roman" w:cs="Times New Roman"/>
          <w:sz w:val="36"/>
          <w:szCs w:val="36"/>
        </w:rPr>
        <w:t>Bordeaux employs multiple classification systems based on subregion and historical prestige:</w:t>
      </w:r>
    </w:p>
    <w:p w14:paraId="0BA85F0D" w14:textId="77777777" w:rsidR="00DE3B04" w:rsidRPr="00DE3B04" w:rsidRDefault="00DE3B04" w:rsidP="00DE3B04">
      <w:pPr>
        <w:numPr>
          <w:ilvl w:val="0"/>
          <w:numId w:val="1"/>
        </w:numPr>
        <w:rPr>
          <w:rFonts w:ascii="Times New Roman" w:hAnsi="Times New Roman" w:cs="Times New Roman"/>
          <w:sz w:val="36"/>
          <w:szCs w:val="36"/>
        </w:rPr>
      </w:pPr>
      <w:r w:rsidRPr="00DE3B04">
        <w:rPr>
          <w:rFonts w:ascii="Times New Roman" w:hAnsi="Times New Roman" w:cs="Times New Roman"/>
          <w:b/>
          <w:bCs/>
          <w:sz w:val="36"/>
          <w:szCs w:val="36"/>
        </w:rPr>
        <w:t>1855 Classification (Médoc and Sauternes)</w:t>
      </w:r>
      <w:r w:rsidRPr="00DE3B04">
        <w:rPr>
          <w:rFonts w:ascii="Times New Roman" w:hAnsi="Times New Roman" w:cs="Times New Roman"/>
          <w:sz w:val="36"/>
          <w:szCs w:val="36"/>
        </w:rPr>
        <w:t xml:space="preserve"> – A five-tier system ranking the region’s top estates, with </w:t>
      </w:r>
      <w:r w:rsidRPr="00DE3B04">
        <w:rPr>
          <w:rFonts w:ascii="Times New Roman" w:hAnsi="Times New Roman" w:cs="Times New Roman"/>
          <w:b/>
          <w:bCs/>
          <w:sz w:val="36"/>
          <w:szCs w:val="36"/>
        </w:rPr>
        <w:t>Château Lafite Rothschild, Château Latour, Château Margaux, Château Haut-Brion, and Château Mouton Rothschild</w:t>
      </w:r>
      <w:r w:rsidRPr="00DE3B04">
        <w:rPr>
          <w:rFonts w:ascii="Times New Roman" w:hAnsi="Times New Roman" w:cs="Times New Roman"/>
          <w:sz w:val="36"/>
          <w:szCs w:val="36"/>
        </w:rPr>
        <w:t xml:space="preserve"> as First Growths.</w:t>
      </w:r>
    </w:p>
    <w:p w14:paraId="55532C32" w14:textId="77777777" w:rsidR="00DE3B04" w:rsidRPr="00DE3B04" w:rsidRDefault="00DE3B04" w:rsidP="00DE3B04">
      <w:pPr>
        <w:numPr>
          <w:ilvl w:val="0"/>
          <w:numId w:val="1"/>
        </w:numPr>
        <w:rPr>
          <w:rFonts w:ascii="Times New Roman" w:hAnsi="Times New Roman" w:cs="Times New Roman"/>
          <w:sz w:val="36"/>
          <w:szCs w:val="36"/>
        </w:rPr>
      </w:pPr>
      <w:r w:rsidRPr="00DE3B04">
        <w:rPr>
          <w:rFonts w:ascii="Times New Roman" w:hAnsi="Times New Roman" w:cs="Times New Roman"/>
          <w:b/>
          <w:bCs/>
          <w:sz w:val="36"/>
          <w:szCs w:val="36"/>
        </w:rPr>
        <w:t>Graves Classification (1953)</w:t>
      </w:r>
      <w:r w:rsidRPr="00DE3B04">
        <w:rPr>
          <w:rFonts w:ascii="Times New Roman" w:hAnsi="Times New Roman" w:cs="Times New Roman"/>
          <w:sz w:val="36"/>
          <w:szCs w:val="36"/>
        </w:rPr>
        <w:t xml:space="preserve"> – Recognizes the best wines of Graves, with </w:t>
      </w:r>
      <w:r w:rsidRPr="00DE3B04">
        <w:rPr>
          <w:rFonts w:ascii="Times New Roman" w:hAnsi="Times New Roman" w:cs="Times New Roman"/>
          <w:b/>
          <w:bCs/>
          <w:sz w:val="36"/>
          <w:szCs w:val="36"/>
        </w:rPr>
        <w:t>Château Haut-Brion</w:t>
      </w:r>
      <w:r w:rsidRPr="00DE3B04">
        <w:rPr>
          <w:rFonts w:ascii="Times New Roman" w:hAnsi="Times New Roman" w:cs="Times New Roman"/>
          <w:sz w:val="36"/>
          <w:szCs w:val="36"/>
        </w:rPr>
        <w:t xml:space="preserve"> as its most famous estate.</w:t>
      </w:r>
    </w:p>
    <w:p w14:paraId="72D35606" w14:textId="77777777" w:rsidR="00DE3B04" w:rsidRPr="00DE3B04" w:rsidRDefault="00DE3B04" w:rsidP="00DE3B04">
      <w:pPr>
        <w:numPr>
          <w:ilvl w:val="0"/>
          <w:numId w:val="1"/>
        </w:numPr>
        <w:rPr>
          <w:rFonts w:ascii="Times New Roman" w:hAnsi="Times New Roman" w:cs="Times New Roman"/>
          <w:sz w:val="36"/>
          <w:szCs w:val="36"/>
        </w:rPr>
      </w:pPr>
      <w:r w:rsidRPr="00DE3B04">
        <w:rPr>
          <w:rFonts w:ascii="Times New Roman" w:hAnsi="Times New Roman" w:cs="Times New Roman"/>
          <w:b/>
          <w:bCs/>
          <w:sz w:val="36"/>
          <w:szCs w:val="36"/>
        </w:rPr>
        <w:t>Saint-</w:t>
      </w:r>
      <w:proofErr w:type="spellStart"/>
      <w:r w:rsidRPr="00DE3B04">
        <w:rPr>
          <w:rFonts w:ascii="Times New Roman" w:hAnsi="Times New Roman" w:cs="Times New Roman"/>
          <w:b/>
          <w:bCs/>
          <w:sz w:val="36"/>
          <w:szCs w:val="36"/>
        </w:rPr>
        <w:t>Émilion</w:t>
      </w:r>
      <w:proofErr w:type="spellEnd"/>
      <w:r w:rsidRPr="00DE3B04">
        <w:rPr>
          <w:rFonts w:ascii="Times New Roman" w:hAnsi="Times New Roman" w:cs="Times New Roman"/>
          <w:b/>
          <w:bCs/>
          <w:sz w:val="36"/>
          <w:szCs w:val="36"/>
        </w:rPr>
        <w:t xml:space="preserve"> Classification</w:t>
      </w:r>
      <w:r w:rsidRPr="00DE3B04">
        <w:rPr>
          <w:rFonts w:ascii="Times New Roman" w:hAnsi="Times New Roman" w:cs="Times New Roman"/>
          <w:sz w:val="36"/>
          <w:szCs w:val="36"/>
        </w:rPr>
        <w:t xml:space="preserve"> – A dynamic ranking system updated approximately every 10 years, highlighting </w:t>
      </w:r>
      <w:r w:rsidRPr="00DE3B04">
        <w:rPr>
          <w:rFonts w:ascii="Times New Roman" w:hAnsi="Times New Roman" w:cs="Times New Roman"/>
          <w:b/>
          <w:bCs/>
          <w:sz w:val="36"/>
          <w:szCs w:val="36"/>
        </w:rPr>
        <w:t>Premier Grand Cru Classé A</w:t>
      </w:r>
      <w:r w:rsidRPr="00DE3B04">
        <w:rPr>
          <w:rFonts w:ascii="Times New Roman" w:hAnsi="Times New Roman" w:cs="Times New Roman"/>
          <w:sz w:val="36"/>
          <w:szCs w:val="36"/>
        </w:rPr>
        <w:t xml:space="preserve"> estates like </w:t>
      </w:r>
      <w:r w:rsidRPr="00DE3B04">
        <w:rPr>
          <w:rFonts w:ascii="Times New Roman" w:hAnsi="Times New Roman" w:cs="Times New Roman"/>
          <w:b/>
          <w:bCs/>
          <w:sz w:val="36"/>
          <w:szCs w:val="36"/>
        </w:rPr>
        <w:t xml:space="preserve">Château </w:t>
      </w:r>
      <w:proofErr w:type="spellStart"/>
      <w:r w:rsidRPr="00DE3B04">
        <w:rPr>
          <w:rFonts w:ascii="Times New Roman" w:hAnsi="Times New Roman" w:cs="Times New Roman"/>
          <w:b/>
          <w:bCs/>
          <w:sz w:val="36"/>
          <w:szCs w:val="36"/>
        </w:rPr>
        <w:t>Ausone</w:t>
      </w:r>
      <w:proofErr w:type="spellEnd"/>
      <w:r w:rsidRPr="00DE3B04">
        <w:rPr>
          <w:rFonts w:ascii="Times New Roman" w:hAnsi="Times New Roman" w:cs="Times New Roman"/>
          <w:b/>
          <w:bCs/>
          <w:sz w:val="36"/>
          <w:szCs w:val="36"/>
        </w:rPr>
        <w:t xml:space="preserve"> and Château Cheval Blanc</w:t>
      </w:r>
      <w:r w:rsidRPr="00DE3B04">
        <w:rPr>
          <w:rFonts w:ascii="Times New Roman" w:hAnsi="Times New Roman" w:cs="Times New Roman"/>
          <w:sz w:val="36"/>
          <w:szCs w:val="36"/>
        </w:rPr>
        <w:t>.</w:t>
      </w:r>
    </w:p>
    <w:p w14:paraId="3098188B" w14:textId="77777777" w:rsidR="00DE3B04" w:rsidRPr="00DE3B04" w:rsidRDefault="00DE3B04" w:rsidP="00DE3B04">
      <w:pPr>
        <w:numPr>
          <w:ilvl w:val="0"/>
          <w:numId w:val="1"/>
        </w:numPr>
        <w:rPr>
          <w:rFonts w:ascii="Times New Roman" w:hAnsi="Times New Roman" w:cs="Times New Roman"/>
          <w:sz w:val="36"/>
          <w:szCs w:val="36"/>
        </w:rPr>
      </w:pPr>
      <w:r w:rsidRPr="00DE3B04">
        <w:rPr>
          <w:rFonts w:ascii="Times New Roman" w:hAnsi="Times New Roman" w:cs="Times New Roman"/>
          <w:b/>
          <w:bCs/>
          <w:sz w:val="36"/>
          <w:szCs w:val="36"/>
        </w:rPr>
        <w:t>Crus Bourgeois (Médoc)</w:t>
      </w:r>
      <w:r w:rsidRPr="00DE3B04">
        <w:rPr>
          <w:rFonts w:ascii="Times New Roman" w:hAnsi="Times New Roman" w:cs="Times New Roman"/>
          <w:sz w:val="36"/>
          <w:szCs w:val="36"/>
        </w:rPr>
        <w:t xml:space="preserve"> – A quality designation for excellent, but non-classified wines of the Médoc.</w:t>
      </w:r>
    </w:p>
    <w:p w14:paraId="55F269C8" w14:textId="77777777" w:rsidR="00DE3B04" w:rsidRPr="00DE3B04" w:rsidRDefault="00DE3B04" w:rsidP="00DE3B04">
      <w:pPr>
        <w:numPr>
          <w:ilvl w:val="0"/>
          <w:numId w:val="1"/>
        </w:numPr>
        <w:rPr>
          <w:rFonts w:ascii="Times New Roman" w:hAnsi="Times New Roman" w:cs="Times New Roman"/>
          <w:sz w:val="36"/>
          <w:szCs w:val="36"/>
        </w:rPr>
      </w:pPr>
      <w:r w:rsidRPr="00DE3B04">
        <w:rPr>
          <w:rFonts w:ascii="Times New Roman" w:hAnsi="Times New Roman" w:cs="Times New Roman"/>
          <w:b/>
          <w:bCs/>
          <w:sz w:val="36"/>
          <w:szCs w:val="36"/>
        </w:rPr>
        <w:t>Pomerol (No Official Classification)</w:t>
      </w:r>
      <w:r w:rsidRPr="00DE3B04">
        <w:rPr>
          <w:rFonts w:ascii="Times New Roman" w:hAnsi="Times New Roman" w:cs="Times New Roman"/>
          <w:sz w:val="36"/>
          <w:szCs w:val="36"/>
        </w:rPr>
        <w:t xml:space="preserve"> – Despite lacking formal ranking, </w:t>
      </w:r>
      <w:r w:rsidRPr="00DE3B04">
        <w:rPr>
          <w:rFonts w:ascii="Times New Roman" w:hAnsi="Times New Roman" w:cs="Times New Roman"/>
          <w:b/>
          <w:bCs/>
          <w:sz w:val="36"/>
          <w:szCs w:val="36"/>
        </w:rPr>
        <w:t>Château Pétrus</w:t>
      </w:r>
      <w:r w:rsidRPr="00DE3B04">
        <w:rPr>
          <w:rFonts w:ascii="Times New Roman" w:hAnsi="Times New Roman" w:cs="Times New Roman"/>
          <w:sz w:val="36"/>
          <w:szCs w:val="36"/>
        </w:rPr>
        <w:t xml:space="preserve"> and </w:t>
      </w:r>
      <w:r w:rsidRPr="00DE3B04">
        <w:rPr>
          <w:rFonts w:ascii="Times New Roman" w:hAnsi="Times New Roman" w:cs="Times New Roman"/>
          <w:b/>
          <w:bCs/>
          <w:sz w:val="36"/>
          <w:szCs w:val="36"/>
        </w:rPr>
        <w:t>Le Pin</w:t>
      </w:r>
      <w:r w:rsidRPr="00DE3B04">
        <w:rPr>
          <w:rFonts w:ascii="Times New Roman" w:hAnsi="Times New Roman" w:cs="Times New Roman"/>
          <w:sz w:val="36"/>
          <w:szCs w:val="36"/>
        </w:rPr>
        <w:t xml:space="preserve"> are considered some of the world’s most prestigious wines.</w:t>
      </w:r>
    </w:p>
    <w:p w14:paraId="4FD0FCF7" w14:textId="5C75459F" w:rsidR="00DE3B04" w:rsidRPr="00DE3B04" w:rsidRDefault="00DE3B04" w:rsidP="00DE3B04">
      <w:pPr>
        <w:rPr>
          <w:rFonts w:ascii="Times New Roman" w:hAnsi="Times New Roman" w:cs="Times New Roman"/>
          <w:b/>
          <w:bCs/>
          <w:sz w:val="36"/>
          <w:szCs w:val="36"/>
        </w:rPr>
      </w:pPr>
      <w:r w:rsidRPr="00DE3B04">
        <w:rPr>
          <w:rFonts w:ascii="Times New Roman" w:hAnsi="Times New Roman" w:cs="Times New Roman"/>
          <w:b/>
          <w:bCs/>
          <w:sz w:val="36"/>
          <w:szCs w:val="36"/>
        </w:rPr>
        <w:lastRenderedPageBreak/>
        <w:t>Major Wine Regions</w:t>
      </w:r>
      <w:r w:rsidR="0000135A" w:rsidRPr="0000135A">
        <w:t xml:space="preserve"> </w:t>
      </w:r>
      <w:r w:rsidR="0000135A">
        <w:rPr>
          <w:noProof/>
        </w:rPr>
        <w:drawing>
          <wp:anchor distT="0" distB="0" distL="114300" distR="114300" simplePos="0" relativeHeight="251658240" behindDoc="0" locked="0" layoutInCell="1" allowOverlap="1" wp14:anchorId="0D22189F" wp14:editId="5F28471C">
            <wp:simplePos x="0" y="0"/>
            <wp:positionH relativeFrom="column">
              <wp:posOffset>0</wp:posOffset>
            </wp:positionH>
            <wp:positionV relativeFrom="paragraph">
              <wp:posOffset>0</wp:posOffset>
            </wp:positionV>
            <wp:extent cx="5850255" cy="8229600"/>
            <wp:effectExtent l="0" t="0" r="0" b="0"/>
            <wp:wrapSquare wrapText="bothSides"/>
            <wp:docPr id="1403441365" name="Picture 1" descr="Bordeaux Wine Region: Regional Guide, Wine Styles &amp; Sub-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deaux Wine Region: Regional Guide, Wine Styles &amp; Sub-Regio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0255" cy="8229600"/>
                    </a:xfrm>
                    <a:prstGeom prst="rect">
                      <a:avLst/>
                    </a:prstGeom>
                    <a:noFill/>
                    <a:ln>
                      <a:noFill/>
                    </a:ln>
                  </pic:spPr>
                </pic:pic>
              </a:graphicData>
            </a:graphic>
          </wp:anchor>
        </w:drawing>
      </w:r>
    </w:p>
    <w:p w14:paraId="1F856B5F" w14:textId="77777777" w:rsidR="00DE3B04" w:rsidRPr="00DE3B04" w:rsidRDefault="00DE3B04" w:rsidP="00DE3B04">
      <w:pPr>
        <w:rPr>
          <w:rFonts w:ascii="Times New Roman" w:hAnsi="Times New Roman" w:cs="Times New Roman"/>
          <w:b/>
          <w:bCs/>
          <w:sz w:val="36"/>
          <w:szCs w:val="36"/>
        </w:rPr>
      </w:pPr>
      <w:r w:rsidRPr="00DE3B04">
        <w:rPr>
          <w:rFonts w:ascii="Times New Roman" w:hAnsi="Times New Roman" w:cs="Times New Roman"/>
          <w:b/>
          <w:bCs/>
          <w:sz w:val="36"/>
          <w:szCs w:val="36"/>
        </w:rPr>
        <w:lastRenderedPageBreak/>
        <w:t>Left Bank (Médoc &amp; Graves)</w:t>
      </w:r>
    </w:p>
    <w:p w14:paraId="5C74D49B" w14:textId="77777777" w:rsidR="00DE3B04" w:rsidRPr="00DE3B04" w:rsidRDefault="00DE3B04" w:rsidP="00DE3B04">
      <w:pPr>
        <w:rPr>
          <w:rFonts w:ascii="Times New Roman" w:hAnsi="Times New Roman" w:cs="Times New Roman"/>
          <w:sz w:val="36"/>
          <w:szCs w:val="36"/>
        </w:rPr>
      </w:pPr>
      <w:r w:rsidRPr="00DE3B04">
        <w:rPr>
          <w:rFonts w:ascii="Times New Roman" w:hAnsi="Times New Roman" w:cs="Times New Roman"/>
          <w:sz w:val="36"/>
          <w:szCs w:val="36"/>
        </w:rPr>
        <w:t xml:space="preserve">Known for its </w:t>
      </w:r>
      <w:r w:rsidRPr="00DE3B04">
        <w:rPr>
          <w:rFonts w:ascii="Times New Roman" w:hAnsi="Times New Roman" w:cs="Times New Roman"/>
          <w:b/>
          <w:bCs/>
          <w:sz w:val="36"/>
          <w:szCs w:val="36"/>
        </w:rPr>
        <w:t>Cabernet Sauvignon-dominant</w:t>
      </w:r>
      <w:r w:rsidRPr="00DE3B04">
        <w:rPr>
          <w:rFonts w:ascii="Times New Roman" w:hAnsi="Times New Roman" w:cs="Times New Roman"/>
          <w:sz w:val="36"/>
          <w:szCs w:val="36"/>
        </w:rPr>
        <w:t xml:space="preserve"> blends, the Left Bank produces wines with firm tannins, deep complexity, and long aging potential.</w:t>
      </w:r>
    </w:p>
    <w:p w14:paraId="090D27E3" w14:textId="77777777" w:rsidR="00DE3B04" w:rsidRPr="00DE3B04" w:rsidRDefault="00DE3B04" w:rsidP="00DE3B04">
      <w:pPr>
        <w:numPr>
          <w:ilvl w:val="0"/>
          <w:numId w:val="2"/>
        </w:numPr>
        <w:rPr>
          <w:rFonts w:ascii="Times New Roman" w:hAnsi="Times New Roman" w:cs="Times New Roman"/>
          <w:sz w:val="36"/>
          <w:szCs w:val="36"/>
        </w:rPr>
      </w:pPr>
      <w:r w:rsidRPr="00DE3B04">
        <w:rPr>
          <w:rFonts w:ascii="Times New Roman" w:hAnsi="Times New Roman" w:cs="Times New Roman"/>
          <w:b/>
          <w:bCs/>
          <w:sz w:val="36"/>
          <w:szCs w:val="36"/>
        </w:rPr>
        <w:t>Médoc</w:t>
      </w:r>
      <w:r w:rsidRPr="00DE3B04">
        <w:rPr>
          <w:rFonts w:ascii="Times New Roman" w:hAnsi="Times New Roman" w:cs="Times New Roman"/>
          <w:sz w:val="36"/>
          <w:szCs w:val="36"/>
        </w:rPr>
        <w:t xml:space="preserve"> – Home to the famous </w:t>
      </w:r>
      <w:r w:rsidRPr="00DE3B04">
        <w:rPr>
          <w:rFonts w:ascii="Times New Roman" w:hAnsi="Times New Roman" w:cs="Times New Roman"/>
          <w:b/>
          <w:bCs/>
          <w:sz w:val="36"/>
          <w:szCs w:val="36"/>
        </w:rPr>
        <w:t>1855 Classification châteaux</w:t>
      </w:r>
      <w:r w:rsidRPr="00DE3B04">
        <w:rPr>
          <w:rFonts w:ascii="Times New Roman" w:hAnsi="Times New Roman" w:cs="Times New Roman"/>
          <w:sz w:val="36"/>
          <w:szCs w:val="36"/>
        </w:rPr>
        <w:t>, producing structured and powerful reds.</w:t>
      </w:r>
    </w:p>
    <w:p w14:paraId="58BFE051" w14:textId="77777777" w:rsidR="00DE3B04" w:rsidRPr="00DE3B04" w:rsidRDefault="00DE3B04" w:rsidP="00DE3B04">
      <w:pPr>
        <w:numPr>
          <w:ilvl w:val="0"/>
          <w:numId w:val="2"/>
        </w:numPr>
        <w:rPr>
          <w:rFonts w:ascii="Times New Roman" w:hAnsi="Times New Roman" w:cs="Times New Roman"/>
          <w:sz w:val="36"/>
          <w:szCs w:val="36"/>
        </w:rPr>
      </w:pPr>
      <w:r w:rsidRPr="00DE3B04">
        <w:rPr>
          <w:rFonts w:ascii="Times New Roman" w:hAnsi="Times New Roman" w:cs="Times New Roman"/>
          <w:b/>
          <w:bCs/>
          <w:sz w:val="36"/>
          <w:szCs w:val="36"/>
        </w:rPr>
        <w:t>Pauillac</w:t>
      </w:r>
      <w:r w:rsidRPr="00DE3B04">
        <w:rPr>
          <w:rFonts w:ascii="Times New Roman" w:hAnsi="Times New Roman" w:cs="Times New Roman"/>
          <w:sz w:val="36"/>
          <w:szCs w:val="36"/>
        </w:rPr>
        <w:t xml:space="preserve"> – A powerhouse region with three First Growths and wines of remarkable concentration and aging potential.</w:t>
      </w:r>
    </w:p>
    <w:p w14:paraId="540D6DC0" w14:textId="77777777" w:rsidR="00DE3B04" w:rsidRPr="00DE3B04" w:rsidRDefault="00DE3B04" w:rsidP="00DE3B04">
      <w:pPr>
        <w:numPr>
          <w:ilvl w:val="0"/>
          <w:numId w:val="2"/>
        </w:numPr>
        <w:rPr>
          <w:rFonts w:ascii="Times New Roman" w:hAnsi="Times New Roman" w:cs="Times New Roman"/>
          <w:sz w:val="36"/>
          <w:szCs w:val="36"/>
        </w:rPr>
      </w:pPr>
      <w:r w:rsidRPr="00DE3B04">
        <w:rPr>
          <w:rFonts w:ascii="Times New Roman" w:hAnsi="Times New Roman" w:cs="Times New Roman"/>
          <w:b/>
          <w:bCs/>
          <w:sz w:val="36"/>
          <w:szCs w:val="36"/>
        </w:rPr>
        <w:t>Margaux</w:t>
      </w:r>
      <w:r w:rsidRPr="00DE3B04">
        <w:rPr>
          <w:rFonts w:ascii="Times New Roman" w:hAnsi="Times New Roman" w:cs="Times New Roman"/>
          <w:sz w:val="36"/>
          <w:szCs w:val="36"/>
        </w:rPr>
        <w:t xml:space="preserve"> – Produces the most elegant and perfumed wines of the Left Bank.</w:t>
      </w:r>
    </w:p>
    <w:p w14:paraId="22382EED" w14:textId="77777777" w:rsidR="00DE3B04" w:rsidRPr="00DE3B04" w:rsidRDefault="00DE3B04" w:rsidP="00DE3B04">
      <w:pPr>
        <w:numPr>
          <w:ilvl w:val="0"/>
          <w:numId w:val="2"/>
        </w:numPr>
        <w:rPr>
          <w:rFonts w:ascii="Times New Roman" w:hAnsi="Times New Roman" w:cs="Times New Roman"/>
          <w:sz w:val="36"/>
          <w:szCs w:val="36"/>
        </w:rPr>
      </w:pPr>
      <w:r w:rsidRPr="00DE3B04">
        <w:rPr>
          <w:rFonts w:ascii="Times New Roman" w:hAnsi="Times New Roman" w:cs="Times New Roman"/>
          <w:b/>
          <w:bCs/>
          <w:sz w:val="36"/>
          <w:szCs w:val="36"/>
        </w:rPr>
        <w:t>Saint-Julien</w:t>
      </w:r>
      <w:r w:rsidRPr="00DE3B04">
        <w:rPr>
          <w:rFonts w:ascii="Times New Roman" w:hAnsi="Times New Roman" w:cs="Times New Roman"/>
          <w:sz w:val="36"/>
          <w:szCs w:val="36"/>
        </w:rPr>
        <w:t xml:space="preserve"> – Balanced and refined wines that bridge the styles of Pauillac and Margaux.</w:t>
      </w:r>
    </w:p>
    <w:p w14:paraId="606CFB35" w14:textId="77777777" w:rsidR="00DE3B04" w:rsidRPr="00DE3B04" w:rsidRDefault="00DE3B04" w:rsidP="00DE3B04">
      <w:pPr>
        <w:numPr>
          <w:ilvl w:val="0"/>
          <w:numId w:val="2"/>
        </w:numPr>
        <w:rPr>
          <w:rFonts w:ascii="Times New Roman" w:hAnsi="Times New Roman" w:cs="Times New Roman"/>
          <w:sz w:val="36"/>
          <w:szCs w:val="36"/>
        </w:rPr>
      </w:pPr>
      <w:r w:rsidRPr="00DE3B04">
        <w:rPr>
          <w:rFonts w:ascii="Times New Roman" w:hAnsi="Times New Roman" w:cs="Times New Roman"/>
          <w:b/>
          <w:bCs/>
          <w:sz w:val="36"/>
          <w:szCs w:val="36"/>
        </w:rPr>
        <w:t>Graves</w:t>
      </w:r>
      <w:r w:rsidRPr="00DE3B04">
        <w:rPr>
          <w:rFonts w:ascii="Times New Roman" w:hAnsi="Times New Roman" w:cs="Times New Roman"/>
          <w:sz w:val="36"/>
          <w:szCs w:val="36"/>
        </w:rPr>
        <w:t xml:space="preserve"> – Known for both </w:t>
      </w:r>
      <w:r w:rsidRPr="00DE3B04">
        <w:rPr>
          <w:rFonts w:ascii="Times New Roman" w:hAnsi="Times New Roman" w:cs="Times New Roman"/>
          <w:b/>
          <w:bCs/>
          <w:sz w:val="36"/>
          <w:szCs w:val="36"/>
        </w:rPr>
        <w:t>red and white wines</w:t>
      </w:r>
      <w:r w:rsidRPr="00DE3B04">
        <w:rPr>
          <w:rFonts w:ascii="Times New Roman" w:hAnsi="Times New Roman" w:cs="Times New Roman"/>
          <w:sz w:val="36"/>
          <w:szCs w:val="36"/>
        </w:rPr>
        <w:t>, with Château Haut-Brion as the standout estate.</w:t>
      </w:r>
    </w:p>
    <w:p w14:paraId="4FEE1A89" w14:textId="77777777" w:rsidR="00DE3B04" w:rsidRPr="00DE3B04" w:rsidRDefault="00DE3B04" w:rsidP="00DE3B04">
      <w:pPr>
        <w:rPr>
          <w:rFonts w:ascii="Times New Roman" w:hAnsi="Times New Roman" w:cs="Times New Roman"/>
          <w:b/>
          <w:bCs/>
          <w:sz w:val="36"/>
          <w:szCs w:val="36"/>
        </w:rPr>
      </w:pPr>
      <w:r w:rsidRPr="00DE3B04">
        <w:rPr>
          <w:rFonts w:ascii="Times New Roman" w:hAnsi="Times New Roman" w:cs="Times New Roman"/>
          <w:b/>
          <w:bCs/>
          <w:sz w:val="36"/>
          <w:szCs w:val="36"/>
        </w:rPr>
        <w:t>Right Bank (Saint-</w:t>
      </w:r>
      <w:proofErr w:type="spellStart"/>
      <w:r w:rsidRPr="00DE3B04">
        <w:rPr>
          <w:rFonts w:ascii="Times New Roman" w:hAnsi="Times New Roman" w:cs="Times New Roman"/>
          <w:b/>
          <w:bCs/>
          <w:sz w:val="36"/>
          <w:szCs w:val="36"/>
        </w:rPr>
        <w:t>Émilion</w:t>
      </w:r>
      <w:proofErr w:type="spellEnd"/>
      <w:r w:rsidRPr="00DE3B04">
        <w:rPr>
          <w:rFonts w:ascii="Times New Roman" w:hAnsi="Times New Roman" w:cs="Times New Roman"/>
          <w:b/>
          <w:bCs/>
          <w:sz w:val="36"/>
          <w:szCs w:val="36"/>
        </w:rPr>
        <w:t xml:space="preserve"> &amp; Pomerol)</w:t>
      </w:r>
    </w:p>
    <w:p w14:paraId="7C7CE464" w14:textId="77777777" w:rsidR="00DE3B04" w:rsidRPr="00DE3B04" w:rsidRDefault="00DE3B04" w:rsidP="00DE3B04">
      <w:pPr>
        <w:rPr>
          <w:rFonts w:ascii="Times New Roman" w:hAnsi="Times New Roman" w:cs="Times New Roman"/>
          <w:sz w:val="36"/>
          <w:szCs w:val="36"/>
        </w:rPr>
      </w:pPr>
      <w:r w:rsidRPr="00DE3B04">
        <w:rPr>
          <w:rFonts w:ascii="Times New Roman" w:hAnsi="Times New Roman" w:cs="Times New Roman"/>
          <w:sz w:val="36"/>
          <w:szCs w:val="36"/>
        </w:rPr>
        <w:t xml:space="preserve">The Right Bank is </w:t>
      </w:r>
      <w:r w:rsidRPr="00DE3B04">
        <w:rPr>
          <w:rFonts w:ascii="Times New Roman" w:hAnsi="Times New Roman" w:cs="Times New Roman"/>
          <w:b/>
          <w:bCs/>
          <w:sz w:val="36"/>
          <w:szCs w:val="36"/>
        </w:rPr>
        <w:t>Merlot-dominant</w:t>
      </w:r>
      <w:r w:rsidRPr="00DE3B04">
        <w:rPr>
          <w:rFonts w:ascii="Times New Roman" w:hAnsi="Times New Roman" w:cs="Times New Roman"/>
          <w:sz w:val="36"/>
          <w:szCs w:val="36"/>
        </w:rPr>
        <w:t>, producing wines with softer tannins and rich fruit concentration.</w:t>
      </w:r>
    </w:p>
    <w:p w14:paraId="5E52BC60" w14:textId="77777777" w:rsidR="00DE3B04" w:rsidRPr="00DE3B04" w:rsidRDefault="00DE3B04" w:rsidP="00DE3B04">
      <w:pPr>
        <w:numPr>
          <w:ilvl w:val="0"/>
          <w:numId w:val="3"/>
        </w:numPr>
        <w:rPr>
          <w:rFonts w:ascii="Times New Roman" w:hAnsi="Times New Roman" w:cs="Times New Roman"/>
          <w:sz w:val="36"/>
          <w:szCs w:val="36"/>
        </w:rPr>
      </w:pPr>
      <w:r w:rsidRPr="00DE3B04">
        <w:rPr>
          <w:rFonts w:ascii="Times New Roman" w:hAnsi="Times New Roman" w:cs="Times New Roman"/>
          <w:b/>
          <w:bCs/>
          <w:sz w:val="36"/>
          <w:szCs w:val="36"/>
        </w:rPr>
        <w:t>Saint-</w:t>
      </w:r>
      <w:proofErr w:type="spellStart"/>
      <w:r w:rsidRPr="00DE3B04">
        <w:rPr>
          <w:rFonts w:ascii="Times New Roman" w:hAnsi="Times New Roman" w:cs="Times New Roman"/>
          <w:b/>
          <w:bCs/>
          <w:sz w:val="36"/>
          <w:szCs w:val="36"/>
        </w:rPr>
        <w:t>Émilion</w:t>
      </w:r>
      <w:proofErr w:type="spellEnd"/>
      <w:r w:rsidRPr="00DE3B04">
        <w:rPr>
          <w:rFonts w:ascii="Times New Roman" w:hAnsi="Times New Roman" w:cs="Times New Roman"/>
          <w:sz w:val="36"/>
          <w:szCs w:val="36"/>
        </w:rPr>
        <w:t xml:space="preserve"> – A UNESCO-listed village, home to </w:t>
      </w:r>
      <w:r w:rsidRPr="00DE3B04">
        <w:rPr>
          <w:rFonts w:ascii="Times New Roman" w:hAnsi="Times New Roman" w:cs="Times New Roman"/>
          <w:b/>
          <w:bCs/>
          <w:sz w:val="36"/>
          <w:szCs w:val="36"/>
        </w:rPr>
        <w:t xml:space="preserve">Château </w:t>
      </w:r>
      <w:proofErr w:type="spellStart"/>
      <w:r w:rsidRPr="00DE3B04">
        <w:rPr>
          <w:rFonts w:ascii="Times New Roman" w:hAnsi="Times New Roman" w:cs="Times New Roman"/>
          <w:b/>
          <w:bCs/>
          <w:sz w:val="36"/>
          <w:szCs w:val="36"/>
        </w:rPr>
        <w:t>Ausone</w:t>
      </w:r>
      <w:proofErr w:type="spellEnd"/>
      <w:r w:rsidRPr="00DE3B04">
        <w:rPr>
          <w:rFonts w:ascii="Times New Roman" w:hAnsi="Times New Roman" w:cs="Times New Roman"/>
          <w:b/>
          <w:bCs/>
          <w:sz w:val="36"/>
          <w:szCs w:val="36"/>
        </w:rPr>
        <w:t xml:space="preserve">, Château Cheval Blanc, and Château </w:t>
      </w:r>
      <w:proofErr w:type="spellStart"/>
      <w:r w:rsidRPr="00DE3B04">
        <w:rPr>
          <w:rFonts w:ascii="Times New Roman" w:hAnsi="Times New Roman" w:cs="Times New Roman"/>
          <w:b/>
          <w:bCs/>
          <w:sz w:val="36"/>
          <w:szCs w:val="36"/>
        </w:rPr>
        <w:t>Angélus</w:t>
      </w:r>
      <w:proofErr w:type="spellEnd"/>
      <w:r w:rsidRPr="00DE3B04">
        <w:rPr>
          <w:rFonts w:ascii="Times New Roman" w:hAnsi="Times New Roman" w:cs="Times New Roman"/>
          <w:sz w:val="36"/>
          <w:szCs w:val="36"/>
        </w:rPr>
        <w:t>.</w:t>
      </w:r>
    </w:p>
    <w:p w14:paraId="27118605" w14:textId="77777777" w:rsidR="00DE3B04" w:rsidRPr="00DE3B04" w:rsidRDefault="00DE3B04" w:rsidP="00DE3B04">
      <w:pPr>
        <w:numPr>
          <w:ilvl w:val="0"/>
          <w:numId w:val="3"/>
        </w:numPr>
        <w:rPr>
          <w:rFonts w:ascii="Times New Roman" w:hAnsi="Times New Roman" w:cs="Times New Roman"/>
          <w:sz w:val="36"/>
          <w:szCs w:val="36"/>
        </w:rPr>
      </w:pPr>
      <w:r w:rsidRPr="00DE3B04">
        <w:rPr>
          <w:rFonts w:ascii="Times New Roman" w:hAnsi="Times New Roman" w:cs="Times New Roman"/>
          <w:b/>
          <w:bCs/>
          <w:sz w:val="36"/>
          <w:szCs w:val="36"/>
        </w:rPr>
        <w:t>Pomerol</w:t>
      </w:r>
      <w:r w:rsidRPr="00DE3B04">
        <w:rPr>
          <w:rFonts w:ascii="Times New Roman" w:hAnsi="Times New Roman" w:cs="Times New Roman"/>
          <w:sz w:val="36"/>
          <w:szCs w:val="36"/>
        </w:rPr>
        <w:t xml:space="preserve"> – Despite its small size, Pomerol produces some of the most coveted wines in the world, including </w:t>
      </w:r>
      <w:r w:rsidRPr="00DE3B04">
        <w:rPr>
          <w:rFonts w:ascii="Times New Roman" w:hAnsi="Times New Roman" w:cs="Times New Roman"/>
          <w:b/>
          <w:bCs/>
          <w:sz w:val="36"/>
          <w:szCs w:val="36"/>
        </w:rPr>
        <w:t>Château Pétrus</w:t>
      </w:r>
      <w:r w:rsidRPr="00DE3B04">
        <w:rPr>
          <w:rFonts w:ascii="Times New Roman" w:hAnsi="Times New Roman" w:cs="Times New Roman"/>
          <w:sz w:val="36"/>
          <w:szCs w:val="36"/>
        </w:rPr>
        <w:t>.</w:t>
      </w:r>
    </w:p>
    <w:p w14:paraId="664F2ACE" w14:textId="77777777" w:rsidR="00DE3B04" w:rsidRPr="00DE3B04" w:rsidRDefault="00DE3B04" w:rsidP="00DE3B04">
      <w:pPr>
        <w:rPr>
          <w:rFonts w:ascii="Times New Roman" w:hAnsi="Times New Roman" w:cs="Times New Roman"/>
          <w:b/>
          <w:bCs/>
          <w:sz w:val="36"/>
          <w:szCs w:val="36"/>
        </w:rPr>
      </w:pPr>
      <w:r w:rsidRPr="00DE3B04">
        <w:rPr>
          <w:rFonts w:ascii="Times New Roman" w:hAnsi="Times New Roman" w:cs="Times New Roman"/>
          <w:b/>
          <w:bCs/>
          <w:sz w:val="36"/>
          <w:szCs w:val="36"/>
        </w:rPr>
        <w:lastRenderedPageBreak/>
        <w:t>Entre-Deux-Mers</w:t>
      </w:r>
    </w:p>
    <w:p w14:paraId="062A1B7F" w14:textId="77777777" w:rsidR="00DE3B04" w:rsidRPr="00DE3B04" w:rsidRDefault="00DE3B04" w:rsidP="00DE3B04">
      <w:pPr>
        <w:rPr>
          <w:rFonts w:ascii="Times New Roman" w:hAnsi="Times New Roman" w:cs="Times New Roman"/>
          <w:sz w:val="36"/>
          <w:szCs w:val="36"/>
        </w:rPr>
      </w:pPr>
      <w:r w:rsidRPr="00DE3B04">
        <w:rPr>
          <w:rFonts w:ascii="Times New Roman" w:hAnsi="Times New Roman" w:cs="Times New Roman"/>
          <w:sz w:val="36"/>
          <w:szCs w:val="36"/>
        </w:rPr>
        <w:t xml:space="preserve">A large, diverse region producing mostly </w:t>
      </w:r>
      <w:r w:rsidRPr="00DE3B04">
        <w:rPr>
          <w:rFonts w:ascii="Times New Roman" w:hAnsi="Times New Roman" w:cs="Times New Roman"/>
          <w:b/>
          <w:bCs/>
          <w:sz w:val="36"/>
          <w:szCs w:val="36"/>
        </w:rPr>
        <w:t>dry white wines</w:t>
      </w:r>
      <w:r w:rsidRPr="00DE3B04">
        <w:rPr>
          <w:rFonts w:ascii="Times New Roman" w:hAnsi="Times New Roman" w:cs="Times New Roman"/>
          <w:sz w:val="36"/>
          <w:szCs w:val="36"/>
        </w:rPr>
        <w:t xml:space="preserve"> from Sauvignon Blanc, Sémillon, and Muscadelle.</w:t>
      </w:r>
    </w:p>
    <w:p w14:paraId="186D97E1" w14:textId="77777777" w:rsidR="00DE3B04" w:rsidRPr="00DE3B04" w:rsidRDefault="00DE3B04" w:rsidP="00DE3B04">
      <w:pPr>
        <w:rPr>
          <w:rFonts w:ascii="Times New Roman" w:hAnsi="Times New Roman" w:cs="Times New Roman"/>
          <w:b/>
          <w:bCs/>
          <w:sz w:val="36"/>
          <w:szCs w:val="36"/>
        </w:rPr>
      </w:pPr>
      <w:r w:rsidRPr="00DE3B04">
        <w:rPr>
          <w:rFonts w:ascii="Times New Roman" w:hAnsi="Times New Roman" w:cs="Times New Roman"/>
          <w:b/>
          <w:bCs/>
          <w:sz w:val="36"/>
          <w:szCs w:val="36"/>
        </w:rPr>
        <w:t>Terroir</w:t>
      </w:r>
    </w:p>
    <w:p w14:paraId="3F6843D1" w14:textId="77777777" w:rsidR="00DE3B04" w:rsidRPr="00DE3B04" w:rsidRDefault="00DE3B04" w:rsidP="00DE3B04">
      <w:pPr>
        <w:rPr>
          <w:rFonts w:ascii="Times New Roman" w:hAnsi="Times New Roman" w:cs="Times New Roman"/>
          <w:sz w:val="36"/>
          <w:szCs w:val="36"/>
        </w:rPr>
      </w:pPr>
      <w:r w:rsidRPr="00DE3B04">
        <w:rPr>
          <w:rFonts w:ascii="Times New Roman" w:hAnsi="Times New Roman" w:cs="Times New Roman"/>
          <w:sz w:val="36"/>
          <w:szCs w:val="36"/>
        </w:rPr>
        <w:t>Bordeaux’s diverse terroir is key to its world-class wines.</w:t>
      </w:r>
    </w:p>
    <w:p w14:paraId="1DFE81CB" w14:textId="77777777" w:rsidR="00DE3B04" w:rsidRPr="00DE3B04" w:rsidRDefault="00DE3B04" w:rsidP="00DE3B04">
      <w:pPr>
        <w:numPr>
          <w:ilvl w:val="0"/>
          <w:numId w:val="4"/>
        </w:numPr>
        <w:rPr>
          <w:rFonts w:ascii="Times New Roman" w:hAnsi="Times New Roman" w:cs="Times New Roman"/>
          <w:sz w:val="36"/>
          <w:szCs w:val="36"/>
        </w:rPr>
      </w:pPr>
      <w:r w:rsidRPr="00DE3B04">
        <w:rPr>
          <w:rFonts w:ascii="Times New Roman" w:hAnsi="Times New Roman" w:cs="Times New Roman"/>
          <w:b/>
          <w:bCs/>
          <w:sz w:val="36"/>
          <w:szCs w:val="36"/>
        </w:rPr>
        <w:t>Soils</w:t>
      </w:r>
      <w:r w:rsidRPr="00DE3B04">
        <w:rPr>
          <w:rFonts w:ascii="Times New Roman" w:hAnsi="Times New Roman" w:cs="Times New Roman"/>
          <w:sz w:val="36"/>
          <w:szCs w:val="36"/>
        </w:rPr>
        <w:t xml:space="preserve"> – The Left Bank features </w:t>
      </w:r>
      <w:r w:rsidRPr="00DE3B04">
        <w:rPr>
          <w:rFonts w:ascii="Times New Roman" w:hAnsi="Times New Roman" w:cs="Times New Roman"/>
          <w:b/>
          <w:bCs/>
          <w:sz w:val="36"/>
          <w:szCs w:val="36"/>
        </w:rPr>
        <w:t>gravel soils</w:t>
      </w:r>
      <w:r w:rsidRPr="00DE3B04">
        <w:rPr>
          <w:rFonts w:ascii="Times New Roman" w:hAnsi="Times New Roman" w:cs="Times New Roman"/>
          <w:sz w:val="36"/>
          <w:szCs w:val="36"/>
        </w:rPr>
        <w:t xml:space="preserve">, perfect for Cabernet Sauvignon, while the Right Bank has </w:t>
      </w:r>
      <w:r w:rsidRPr="00DE3B04">
        <w:rPr>
          <w:rFonts w:ascii="Times New Roman" w:hAnsi="Times New Roman" w:cs="Times New Roman"/>
          <w:b/>
          <w:bCs/>
          <w:sz w:val="36"/>
          <w:szCs w:val="36"/>
        </w:rPr>
        <w:t>clay and limestone soils</w:t>
      </w:r>
      <w:r w:rsidRPr="00DE3B04">
        <w:rPr>
          <w:rFonts w:ascii="Times New Roman" w:hAnsi="Times New Roman" w:cs="Times New Roman"/>
          <w:sz w:val="36"/>
          <w:szCs w:val="36"/>
        </w:rPr>
        <w:t>, ideal for Merlot.</w:t>
      </w:r>
    </w:p>
    <w:p w14:paraId="47C60C8E" w14:textId="77777777" w:rsidR="00DE3B04" w:rsidRPr="00DE3B04" w:rsidRDefault="00DE3B04" w:rsidP="00DE3B04">
      <w:pPr>
        <w:numPr>
          <w:ilvl w:val="0"/>
          <w:numId w:val="4"/>
        </w:numPr>
        <w:rPr>
          <w:rFonts w:ascii="Times New Roman" w:hAnsi="Times New Roman" w:cs="Times New Roman"/>
          <w:sz w:val="36"/>
          <w:szCs w:val="36"/>
        </w:rPr>
      </w:pPr>
      <w:r w:rsidRPr="00DE3B04">
        <w:rPr>
          <w:rFonts w:ascii="Times New Roman" w:hAnsi="Times New Roman" w:cs="Times New Roman"/>
          <w:b/>
          <w:bCs/>
          <w:sz w:val="36"/>
          <w:szCs w:val="36"/>
        </w:rPr>
        <w:t>Climate</w:t>
      </w:r>
      <w:r w:rsidRPr="00DE3B04">
        <w:rPr>
          <w:rFonts w:ascii="Times New Roman" w:hAnsi="Times New Roman" w:cs="Times New Roman"/>
          <w:sz w:val="36"/>
          <w:szCs w:val="36"/>
        </w:rPr>
        <w:t xml:space="preserve"> – </w:t>
      </w:r>
      <w:r w:rsidRPr="00DE3B04">
        <w:rPr>
          <w:rFonts w:ascii="Times New Roman" w:hAnsi="Times New Roman" w:cs="Times New Roman"/>
          <w:b/>
          <w:bCs/>
          <w:sz w:val="36"/>
          <w:szCs w:val="36"/>
        </w:rPr>
        <w:t>Maritime-influenced</w:t>
      </w:r>
      <w:r w:rsidRPr="00DE3B04">
        <w:rPr>
          <w:rFonts w:ascii="Times New Roman" w:hAnsi="Times New Roman" w:cs="Times New Roman"/>
          <w:sz w:val="36"/>
          <w:szCs w:val="36"/>
        </w:rPr>
        <w:t>, ensuring moderate temperatures and sufficient rainfall.</w:t>
      </w:r>
    </w:p>
    <w:p w14:paraId="13DC8C30" w14:textId="77777777" w:rsidR="00DE3B04" w:rsidRPr="00DE3B04" w:rsidRDefault="00DE3B04" w:rsidP="00DE3B04">
      <w:pPr>
        <w:numPr>
          <w:ilvl w:val="0"/>
          <w:numId w:val="4"/>
        </w:numPr>
        <w:rPr>
          <w:rFonts w:ascii="Times New Roman" w:hAnsi="Times New Roman" w:cs="Times New Roman"/>
          <w:sz w:val="36"/>
          <w:szCs w:val="36"/>
        </w:rPr>
      </w:pPr>
      <w:r w:rsidRPr="00DE3B04">
        <w:rPr>
          <w:rFonts w:ascii="Times New Roman" w:hAnsi="Times New Roman" w:cs="Times New Roman"/>
          <w:b/>
          <w:bCs/>
          <w:sz w:val="36"/>
          <w:szCs w:val="36"/>
        </w:rPr>
        <w:t>Rivers</w:t>
      </w:r>
      <w:r w:rsidRPr="00DE3B04">
        <w:rPr>
          <w:rFonts w:ascii="Times New Roman" w:hAnsi="Times New Roman" w:cs="Times New Roman"/>
          <w:sz w:val="36"/>
          <w:szCs w:val="36"/>
        </w:rPr>
        <w:t xml:space="preserve"> – The </w:t>
      </w:r>
      <w:r w:rsidRPr="00DE3B04">
        <w:rPr>
          <w:rFonts w:ascii="Times New Roman" w:hAnsi="Times New Roman" w:cs="Times New Roman"/>
          <w:b/>
          <w:bCs/>
          <w:sz w:val="36"/>
          <w:szCs w:val="36"/>
        </w:rPr>
        <w:t>Gironde estuary</w:t>
      </w:r>
      <w:r w:rsidRPr="00DE3B04">
        <w:rPr>
          <w:rFonts w:ascii="Times New Roman" w:hAnsi="Times New Roman" w:cs="Times New Roman"/>
          <w:sz w:val="36"/>
          <w:szCs w:val="36"/>
        </w:rPr>
        <w:t xml:space="preserve">, </w:t>
      </w:r>
      <w:r w:rsidRPr="00DE3B04">
        <w:rPr>
          <w:rFonts w:ascii="Times New Roman" w:hAnsi="Times New Roman" w:cs="Times New Roman"/>
          <w:b/>
          <w:bCs/>
          <w:sz w:val="36"/>
          <w:szCs w:val="36"/>
        </w:rPr>
        <w:t>Garonne</w:t>
      </w:r>
      <w:r w:rsidRPr="00DE3B04">
        <w:rPr>
          <w:rFonts w:ascii="Times New Roman" w:hAnsi="Times New Roman" w:cs="Times New Roman"/>
          <w:sz w:val="36"/>
          <w:szCs w:val="36"/>
        </w:rPr>
        <w:t xml:space="preserve">, and </w:t>
      </w:r>
      <w:r w:rsidRPr="00DE3B04">
        <w:rPr>
          <w:rFonts w:ascii="Times New Roman" w:hAnsi="Times New Roman" w:cs="Times New Roman"/>
          <w:b/>
          <w:bCs/>
          <w:sz w:val="36"/>
          <w:szCs w:val="36"/>
        </w:rPr>
        <w:t>Dordogne</w:t>
      </w:r>
      <w:r w:rsidRPr="00DE3B04">
        <w:rPr>
          <w:rFonts w:ascii="Times New Roman" w:hAnsi="Times New Roman" w:cs="Times New Roman"/>
          <w:sz w:val="36"/>
          <w:szCs w:val="36"/>
        </w:rPr>
        <w:t xml:space="preserve"> rivers help moderate climate and define the region’s appellations.</w:t>
      </w:r>
    </w:p>
    <w:p w14:paraId="0EFAD6CC" w14:textId="73BD66E7" w:rsidR="00DE3B04" w:rsidRPr="00DE3B04" w:rsidRDefault="00DE3B04" w:rsidP="00DE3B04">
      <w:pPr>
        <w:rPr>
          <w:rFonts w:ascii="Times New Roman" w:hAnsi="Times New Roman" w:cs="Times New Roman"/>
          <w:b/>
          <w:bCs/>
          <w:sz w:val="36"/>
          <w:szCs w:val="36"/>
        </w:rPr>
      </w:pPr>
      <w:r w:rsidRPr="00DE3B04">
        <w:rPr>
          <w:rFonts w:ascii="Times New Roman" w:hAnsi="Times New Roman" w:cs="Times New Roman"/>
          <w:b/>
          <w:bCs/>
          <w:sz w:val="36"/>
          <w:szCs w:val="36"/>
        </w:rPr>
        <w:t>Notable Grape Varieties</w:t>
      </w:r>
      <w:r w:rsidR="0000135A" w:rsidRPr="0000135A">
        <w:t xml:space="preserve"> </w:t>
      </w:r>
    </w:p>
    <w:p w14:paraId="480EFCEB" w14:textId="29392F4A" w:rsidR="00DE3B04" w:rsidRPr="00DE3B04" w:rsidRDefault="00DE3B04" w:rsidP="00DE3B04">
      <w:pPr>
        <w:rPr>
          <w:rFonts w:ascii="Times New Roman" w:hAnsi="Times New Roman" w:cs="Times New Roman"/>
          <w:b/>
          <w:bCs/>
          <w:sz w:val="36"/>
          <w:szCs w:val="36"/>
        </w:rPr>
      </w:pPr>
      <w:r w:rsidRPr="00DE3B04">
        <w:rPr>
          <w:rFonts w:ascii="Times New Roman" w:hAnsi="Times New Roman" w:cs="Times New Roman"/>
          <w:b/>
          <w:bCs/>
          <w:sz w:val="36"/>
          <w:szCs w:val="36"/>
        </w:rPr>
        <w:t>Red Grapes</w:t>
      </w:r>
    </w:p>
    <w:p w14:paraId="02098EAE" w14:textId="4189FA8A" w:rsidR="00DE3B04" w:rsidRPr="00DE3B04" w:rsidRDefault="00DE3B04" w:rsidP="00DE3B04">
      <w:pPr>
        <w:numPr>
          <w:ilvl w:val="0"/>
          <w:numId w:val="5"/>
        </w:numPr>
        <w:rPr>
          <w:rFonts w:ascii="Times New Roman" w:hAnsi="Times New Roman" w:cs="Times New Roman"/>
          <w:sz w:val="36"/>
          <w:szCs w:val="36"/>
        </w:rPr>
      </w:pPr>
      <w:r w:rsidRPr="00DE3B04">
        <w:rPr>
          <w:rFonts w:ascii="Times New Roman" w:hAnsi="Times New Roman" w:cs="Times New Roman"/>
          <w:b/>
          <w:bCs/>
          <w:sz w:val="36"/>
          <w:szCs w:val="36"/>
        </w:rPr>
        <w:t>Cabernet Sauvignon</w:t>
      </w:r>
      <w:r w:rsidRPr="00DE3B04">
        <w:rPr>
          <w:rFonts w:ascii="Times New Roman" w:hAnsi="Times New Roman" w:cs="Times New Roman"/>
          <w:sz w:val="36"/>
          <w:szCs w:val="36"/>
        </w:rPr>
        <w:t xml:space="preserve"> – The backbone of Left Bank wines, known for its structure, blackcurrant flavors, and aging potential.</w:t>
      </w:r>
    </w:p>
    <w:p w14:paraId="43B34B61" w14:textId="24EC0B25" w:rsidR="00DE3B04" w:rsidRPr="00DE3B04" w:rsidRDefault="00DE3B04" w:rsidP="00DE3B04">
      <w:pPr>
        <w:numPr>
          <w:ilvl w:val="0"/>
          <w:numId w:val="5"/>
        </w:numPr>
        <w:rPr>
          <w:rFonts w:ascii="Times New Roman" w:hAnsi="Times New Roman" w:cs="Times New Roman"/>
          <w:sz w:val="36"/>
          <w:szCs w:val="36"/>
        </w:rPr>
      </w:pPr>
      <w:r w:rsidRPr="00DE3B04">
        <w:rPr>
          <w:rFonts w:ascii="Times New Roman" w:hAnsi="Times New Roman" w:cs="Times New Roman"/>
          <w:b/>
          <w:bCs/>
          <w:sz w:val="36"/>
          <w:szCs w:val="36"/>
        </w:rPr>
        <w:t>Merlot</w:t>
      </w:r>
      <w:r w:rsidRPr="00DE3B04">
        <w:rPr>
          <w:rFonts w:ascii="Times New Roman" w:hAnsi="Times New Roman" w:cs="Times New Roman"/>
          <w:sz w:val="36"/>
          <w:szCs w:val="36"/>
        </w:rPr>
        <w:t xml:space="preserve"> – The dominant grape in the Right Bank, adding richness, plush texture, and approachability.</w:t>
      </w:r>
    </w:p>
    <w:p w14:paraId="505F9B7C" w14:textId="44219052" w:rsidR="00DE3B04" w:rsidRPr="00DE3B04" w:rsidRDefault="0000135A" w:rsidP="00DE3B04">
      <w:pPr>
        <w:numPr>
          <w:ilvl w:val="0"/>
          <w:numId w:val="5"/>
        </w:numPr>
        <w:rPr>
          <w:rFonts w:ascii="Times New Roman" w:hAnsi="Times New Roman" w:cs="Times New Roman"/>
          <w:sz w:val="36"/>
          <w:szCs w:val="36"/>
        </w:rPr>
      </w:pPr>
      <w:r>
        <w:rPr>
          <w:noProof/>
        </w:rPr>
        <w:lastRenderedPageBreak/>
        <w:drawing>
          <wp:anchor distT="0" distB="0" distL="114300" distR="114300" simplePos="0" relativeHeight="251662336" behindDoc="0" locked="0" layoutInCell="1" allowOverlap="1" wp14:anchorId="33525192" wp14:editId="4626E420">
            <wp:simplePos x="0" y="0"/>
            <wp:positionH relativeFrom="column">
              <wp:posOffset>3676650</wp:posOffset>
            </wp:positionH>
            <wp:positionV relativeFrom="paragraph">
              <wp:posOffset>11430</wp:posOffset>
            </wp:positionV>
            <wp:extent cx="2284095" cy="3476625"/>
            <wp:effectExtent l="0" t="0" r="1905" b="9525"/>
            <wp:wrapSquare wrapText="bothSides"/>
            <wp:docPr id="1219435011" name="Picture 4" descr="French Cabernet Sauvignon W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nch Cabernet Sauvignon Win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284095" cy="3476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3B04" w:rsidRPr="00DE3B04">
        <w:rPr>
          <w:rFonts w:ascii="Times New Roman" w:hAnsi="Times New Roman" w:cs="Times New Roman"/>
          <w:b/>
          <w:bCs/>
          <w:sz w:val="36"/>
          <w:szCs w:val="36"/>
        </w:rPr>
        <w:t>Cabernet Franc</w:t>
      </w:r>
      <w:r w:rsidR="00DE3B04" w:rsidRPr="00DE3B04">
        <w:rPr>
          <w:rFonts w:ascii="Times New Roman" w:hAnsi="Times New Roman" w:cs="Times New Roman"/>
          <w:sz w:val="36"/>
          <w:szCs w:val="36"/>
        </w:rPr>
        <w:t xml:space="preserve"> – Provides aromatics, spice, and structure, especially in Right Bank blends.</w:t>
      </w:r>
    </w:p>
    <w:p w14:paraId="7EDCCD51" w14:textId="77777777" w:rsidR="00DE3B04" w:rsidRPr="00DE3B04" w:rsidRDefault="00DE3B04" w:rsidP="00DE3B04">
      <w:pPr>
        <w:numPr>
          <w:ilvl w:val="0"/>
          <w:numId w:val="5"/>
        </w:numPr>
        <w:rPr>
          <w:rFonts w:ascii="Times New Roman" w:hAnsi="Times New Roman" w:cs="Times New Roman"/>
          <w:sz w:val="36"/>
          <w:szCs w:val="36"/>
        </w:rPr>
      </w:pPr>
      <w:r w:rsidRPr="00DE3B04">
        <w:rPr>
          <w:rFonts w:ascii="Times New Roman" w:hAnsi="Times New Roman" w:cs="Times New Roman"/>
          <w:b/>
          <w:bCs/>
          <w:sz w:val="36"/>
          <w:szCs w:val="36"/>
        </w:rPr>
        <w:t>Petit Verdot</w:t>
      </w:r>
      <w:r w:rsidRPr="00DE3B04">
        <w:rPr>
          <w:rFonts w:ascii="Times New Roman" w:hAnsi="Times New Roman" w:cs="Times New Roman"/>
          <w:sz w:val="36"/>
          <w:szCs w:val="36"/>
        </w:rPr>
        <w:t xml:space="preserve"> – Adds color, depth, and floral notes in small quantities.</w:t>
      </w:r>
    </w:p>
    <w:p w14:paraId="77BDA47E" w14:textId="77777777" w:rsidR="00DE3B04" w:rsidRPr="00DE3B04" w:rsidRDefault="00DE3B04" w:rsidP="00DE3B04">
      <w:pPr>
        <w:rPr>
          <w:rFonts w:ascii="Times New Roman" w:hAnsi="Times New Roman" w:cs="Times New Roman"/>
          <w:b/>
          <w:bCs/>
          <w:sz w:val="36"/>
          <w:szCs w:val="36"/>
        </w:rPr>
      </w:pPr>
      <w:r w:rsidRPr="00DE3B04">
        <w:rPr>
          <w:rFonts w:ascii="Times New Roman" w:hAnsi="Times New Roman" w:cs="Times New Roman"/>
          <w:b/>
          <w:bCs/>
          <w:sz w:val="36"/>
          <w:szCs w:val="36"/>
        </w:rPr>
        <w:t>White Grapes</w:t>
      </w:r>
    </w:p>
    <w:p w14:paraId="415C7095" w14:textId="77777777" w:rsidR="00DE3B04" w:rsidRPr="00DE3B04" w:rsidRDefault="00DE3B04" w:rsidP="00DE3B04">
      <w:pPr>
        <w:numPr>
          <w:ilvl w:val="0"/>
          <w:numId w:val="6"/>
        </w:numPr>
        <w:rPr>
          <w:rFonts w:ascii="Times New Roman" w:hAnsi="Times New Roman" w:cs="Times New Roman"/>
          <w:sz w:val="36"/>
          <w:szCs w:val="36"/>
        </w:rPr>
      </w:pPr>
      <w:r w:rsidRPr="00DE3B04">
        <w:rPr>
          <w:rFonts w:ascii="Times New Roman" w:hAnsi="Times New Roman" w:cs="Times New Roman"/>
          <w:b/>
          <w:bCs/>
          <w:sz w:val="36"/>
          <w:szCs w:val="36"/>
        </w:rPr>
        <w:t>Sauvignon Blanc</w:t>
      </w:r>
      <w:r w:rsidRPr="00DE3B04">
        <w:rPr>
          <w:rFonts w:ascii="Times New Roman" w:hAnsi="Times New Roman" w:cs="Times New Roman"/>
          <w:sz w:val="36"/>
          <w:szCs w:val="36"/>
        </w:rPr>
        <w:t xml:space="preserve"> – Brings acidity, citrus notes, and freshness to dry and sweet wines.</w:t>
      </w:r>
    </w:p>
    <w:p w14:paraId="1257D2E2" w14:textId="77777777" w:rsidR="00DE3B04" w:rsidRPr="00DE3B04" w:rsidRDefault="00DE3B04" w:rsidP="00DE3B04">
      <w:pPr>
        <w:numPr>
          <w:ilvl w:val="0"/>
          <w:numId w:val="6"/>
        </w:numPr>
        <w:rPr>
          <w:rFonts w:ascii="Times New Roman" w:hAnsi="Times New Roman" w:cs="Times New Roman"/>
          <w:sz w:val="36"/>
          <w:szCs w:val="36"/>
        </w:rPr>
      </w:pPr>
      <w:r w:rsidRPr="00DE3B04">
        <w:rPr>
          <w:rFonts w:ascii="Times New Roman" w:hAnsi="Times New Roman" w:cs="Times New Roman"/>
          <w:b/>
          <w:bCs/>
          <w:sz w:val="36"/>
          <w:szCs w:val="36"/>
        </w:rPr>
        <w:t>Sémillon</w:t>
      </w:r>
      <w:r w:rsidRPr="00DE3B04">
        <w:rPr>
          <w:rFonts w:ascii="Times New Roman" w:hAnsi="Times New Roman" w:cs="Times New Roman"/>
          <w:sz w:val="36"/>
          <w:szCs w:val="36"/>
        </w:rPr>
        <w:t xml:space="preserve"> – The key grape in </w:t>
      </w:r>
      <w:r w:rsidRPr="00DE3B04">
        <w:rPr>
          <w:rFonts w:ascii="Times New Roman" w:hAnsi="Times New Roman" w:cs="Times New Roman"/>
          <w:b/>
          <w:bCs/>
          <w:sz w:val="36"/>
          <w:szCs w:val="36"/>
        </w:rPr>
        <w:t>Sauternes</w:t>
      </w:r>
      <w:r w:rsidRPr="00DE3B04">
        <w:rPr>
          <w:rFonts w:ascii="Times New Roman" w:hAnsi="Times New Roman" w:cs="Times New Roman"/>
          <w:sz w:val="36"/>
          <w:szCs w:val="36"/>
        </w:rPr>
        <w:t>, adding body and aging potential.</w:t>
      </w:r>
    </w:p>
    <w:p w14:paraId="4E41D7E8" w14:textId="77777777" w:rsidR="00DE3B04" w:rsidRPr="00DE3B04" w:rsidRDefault="00DE3B04" w:rsidP="00DE3B04">
      <w:pPr>
        <w:numPr>
          <w:ilvl w:val="0"/>
          <w:numId w:val="6"/>
        </w:numPr>
        <w:rPr>
          <w:rFonts w:ascii="Times New Roman" w:hAnsi="Times New Roman" w:cs="Times New Roman"/>
          <w:sz w:val="36"/>
          <w:szCs w:val="36"/>
        </w:rPr>
      </w:pPr>
      <w:r w:rsidRPr="00DE3B04">
        <w:rPr>
          <w:rFonts w:ascii="Times New Roman" w:hAnsi="Times New Roman" w:cs="Times New Roman"/>
          <w:b/>
          <w:bCs/>
          <w:sz w:val="36"/>
          <w:szCs w:val="36"/>
        </w:rPr>
        <w:t>Muscadelle</w:t>
      </w:r>
      <w:r w:rsidRPr="00DE3B04">
        <w:rPr>
          <w:rFonts w:ascii="Times New Roman" w:hAnsi="Times New Roman" w:cs="Times New Roman"/>
          <w:sz w:val="36"/>
          <w:szCs w:val="36"/>
        </w:rPr>
        <w:t xml:space="preserve"> – Contributes floral aromatics and complexity.</w:t>
      </w:r>
    </w:p>
    <w:p w14:paraId="4F04B4C6" w14:textId="77777777" w:rsidR="00DE3B04" w:rsidRPr="00DE3B04" w:rsidRDefault="00DE3B04" w:rsidP="00DE3B04">
      <w:pPr>
        <w:rPr>
          <w:rFonts w:ascii="Times New Roman" w:hAnsi="Times New Roman" w:cs="Times New Roman"/>
          <w:b/>
          <w:bCs/>
          <w:sz w:val="36"/>
          <w:szCs w:val="36"/>
        </w:rPr>
      </w:pPr>
      <w:r w:rsidRPr="00DE3B04">
        <w:rPr>
          <w:rFonts w:ascii="Times New Roman" w:hAnsi="Times New Roman" w:cs="Times New Roman"/>
          <w:b/>
          <w:bCs/>
          <w:sz w:val="36"/>
          <w:szCs w:val="36"/>
        </w:rPr>
        <w:t>Notable Wine Styles</w:t>
      </w:r>
    </w:p>
    <w:p w14:paraId="0297F370" w14:textId="77777777" w:rsidR="00DE3B04" w:rsidRPr="00DE3B04" w:rsidRDefault="00DE3B04" w:rsidP="00DE3B04">
      <w:pPr>
        <w:numPr>
          <w:ilvl w:val="0"/>
          <w:numId w:val="7"/>
        </w:numPr>
        <w:rPr>
          <w:rFonts w:ascii="Times New Roman" w:hAnsi="Times New Roman" w:cs="Times New Roman"/>
          <w:sz w:val="36"/>
          <w:szCs w:val="36"/>
        </w:rPr>
      </w:pPr>
      <w:r w:rsidRPr="00DE3B04">
        <w:rPr>
          <w:rFonts w:ascii="Times New Roman" w:hAnsi="Times New Roman" w:cs="Times New Roman"/>
          <w:b/>
          <w:bCs/>
          <w:sz w:val="36"/>
          <w:szCs w:val="36"/>
        </w:rPr>
        <w:t>Left Bank Reds</w:t>
      </w:r>
      <w:r w:rsidRPr="00DE3B04">
        <w:rPr>
          <w:rFonts w:ascii="Times New Roman" w:hAnsi="Times New Roman" w:cs="Times New Roman"/>
          <w:sz w:val="36"/>
          <w:szCs w:val="36"/>
        </w:rPr>
        <w:t xml:space="preserve"> – Powerful, tannic, and age-worthy, showcasing black fruit, tobacco, and graphite.</w:t>
      </w:r>
    </w:p>
    <w:p w14:paraId="1A62CB8F" w14:textId="77777777" w:rsidR="00DE3B04" w:rsidRPr="00DE3B04" w:rsidRDefault="00DE3B04" w:rsidP="00DE3B04">
      <w:pPr>
        <w:numPr>
          <w:ilvl w:val="0"/>
          <w:numId w:val="7"/>
        </w:numPr>
        <w:rPr>
          <w:rFonts w:ascii="Times New Roman" w:hAnsi="Times New Roman" w:cs="Times New Roman"/>
          <w:sz w:val="36"/>
          <w:szCs w:val="36"/>
        </w:rPr>
      </w:pPr>
      <w:r w:rsidRPr="00DE3B04">
        <w:rPr>
          <w:rFonts w:ascii="Times New Roman" w:hAnsi="Times New Roman" w:cs="Times New Roman"/>
          <w:b/>
          <w:bCs/>
          <w:sz w:val="36"/>
          <w:szCs w:val="36"/>
        </w:rPr>
        <w:t>Right Bank Reds</w:t>
      </w:r>
      <w:r w:rsidRPr="00DE3B04">
        <w:rPr>
          <w:rFonts w:ascii="Times New Roman" w:hAnsi="Times New Roman" w:cs="Times New Roman"/>
          <w:sz w:val="36"/>
          <w:szCs w:val="36"/>
        </w:rPr>
        <w:t xml:space="preserve"> – Plush, fruit-forward, and velvety, often with notes of plum, chocolate, and spice.</w:t>
      </w:r>
    </w:p>
    <w:p w14:paraId="5B27E572" w14:textId="77777777" w:rsidR="00DE3B04" w:rsidRPr="00DE3B04" w:rsidRDefault="00DE3B04" w:rsidP="00DE3B04">
      <w:pPr>
        <w:numPr>
          <w:ilvl w:val="0"/>
          <w:numId w:val="7"/>
        </w:numPr>
        <w:rPr>
          <w:rFonts w:ascii="Times New Roman" w:hAnsi="Times New Roman" w:cs="Times New Roman"/>
          <w:sz w:val="36"/>
          <w:szCs w:val="36"/>
        </w:rPr>
      </w:pPr>
      <w:r w:rsidRPr="00DE3B04">
        <w:rPr>
          <w:rFonts w:ascii="Times New Roman" w:hAnsi="Times New Roman" w:cs="Times New Roman"/>
          <w:b/>
          <w:bCs/>
          <w:sz w:val="36"/>
          <w:szCs w:val="36"/>
        </w:rPr>
        <w:t>White Bordeaux</w:t>
      </w:r>
      <w:r w:rsidRPr="00DE3B04">
        <w:rPr>
          <w:rFonts w:ascii="Times New Roman" w:hAnsi="Times New Roman" w:cs="Times New Roman"/>
          <w:sz w:val="36"/>
          <w:szCs w:val="36"/>
        </w:rPr>
        <w:t xml:space="preserve"> – Crisp and aromatic (Graves, Pessac-</w:t>
      </w:r>
      <w:proofErr w:type="spellStart"/>
      <w:r w:rsidRPr="00DE3B04">
        <w:rPr>
          <w:rFonts w:ascii="Times New Roman" w:hAnsi="Times New Roman" w:cs="Times New Roman"/>
          <w:sz w:val="36"/>
          <w:szCs w:val="36"/>
        </w:rPr>
        <w:t>Léognan</w:t>
      </w:r>
      <w:proofErr w:type="spellEnd"/>
      <w:r w:rsidRPr="00DE3B04">
        <w:rPr>
          <w:rFonts w:ascii="Times New Roman" w:hAnsi="Times New Roman" w:cs="Times New Roman"/>
          <w:sz w:val="36"/>
          <w:szCs w:val="36"/>
        </w:rPr>
        <w:t>) or rich and opulent (Sauternes, Barsac).</w:t>
      </w:r>
    </w:p>
    <w:p w14:paraId="249A359C" w14:textId="77777777" w:rsidR="00DE3B04" w:rsidRPr="00DE3B04" w:rsidRDefault="00DE3B04" w:rsidP="00DE3B04">
      <w:pPr>
        <w:numPr>
          <w:ilvl w:val="0"/>
          <w:numId w:val="7"/>
        </w:numPr>
        <w:rPr>
          <w:rFonts w:ascii="Times New Roman" w:hAnsi="Times New Roman" w:cs="Times New Roman"/>
          <w:sz w:val="36"/>
          <w:szCs w:val="36"/>
        </w:rPr>
      </w:pPr>
      <w:r w:rsidRPr="00DE3B04">
        <w:rPr>
          <w:rFonts w:ascii="Times New Roman" w:hAnsi="Times New Roman" w:cs="Times New Roman"/>
          <w:b/>
          <w:bCs/>
          <w:sz w:val="36"/>
          <w:szCs w:val="36"/>
        </w:rPr>
        <w:t>Sauternes &amp; Barsac</w:t>
      </w:r>
      <w:r w:rsidRPr="00DE3B04">
        <w:rPr>
          <w:rFonts w:ascii="Times New Roman" w:hAnsi="Times New Roman" w:cs="Times New Roman"/>
          <w:sz w:val="36"/>
          <w:szCs w:val="36"/>
        </w:rPr>
        <w:t xml:space="preserve"> – Iconic </w:t>
      </w:r>
      <w:r w:rsidRPr="00DE3B04">
        <w:rPr>
          <w:rFonts w:ascii="Times New Roman" w:hAnsi="Times New Roman" w:cs="Times New Roman"/>
          <w:b/>
          <w:bCs/>
          <w:sz w:val="36"/>
          <w:szCs w:val="36"/>
        </w:rPr>
        <w:t>sweet wines</w:t>
      </w:r>
      <w:r w:rsidRPr="00DE3B04">
        <w:rPr>
          <w:rFonts w:ascii="Times New Roman" w:hAnsi="Times New Roman" w:cs="Times New Roman"/>
          <w:sz w:val="36"/>
          <w:szCs w:val="36"/>
        </w:rPr>
        <w:t xml:space="preserve"> made from botrytized Sémillon and Sauvignon Blanc, with Château </w:t>
      </w:r>
      <w:proofErr w:type="spellStart"/>
      <w:r w:rsidRPr="00DE3B04">
        <w:rPr>
          <w:rFonts w:ascii="Times New Roman" w:hAnsi="Times New Roman" w:cs="Times New Roman"/>
          <w:sz w:val="36"/>
          <w:szCs w:val="36"/>
        </w:rPr>
        <w:t>d’Yquem</w:t>
      </w:r>
      <w:proofErr w:type="spellEnd"/>
      <w:r w:rsidRPr="00DE3B04">
        <w:rPr>
          <w:rFonts w:ascii="Times New Roman" w:hAnsi="Times New Roman" w:cs="Times New Roman"/>
          <w:sz w:val="36"/>
          <w:szCs w:val="36"/>
        </w:rPr>
        <w:t xml:space="preserve"> as the benchmark.</w:t>
      </w:r>
    </w:p>
    <w:p w14:paraId="4B076A6D" w14:textId="77777777" w:rsidR="00DE3B04" w:rsidRPr="00DE3B04" w:rsidRDefault="00DE3B04" w:rsidP="00DE3B04">
      <w:pPr>
        <w:rPr>
          <w:rFonts w:ascii="Times New Roman" w:hAnsi="Times New Roman" w:cs="Times New Roman"/>
          <w:b/>
          <w:bCs/>
          <w:sz w:val="36"/>
          <w:szCs w:val="36"/>
        </w:rPr>
      </w:pPr>
      <w:r w:rsidRPr="00DE3B04">
        <w:rPr>
          <w:rFonts w:ascii="Times New Roman" w:hAnsi="Times New Roman" w:cs="Times New Roman"/>
          <w:b/>
          <w:bCs/>
          <w:sz w:val="36"/>
          <w:szCs w:val="36"/>
        </w:rPr>
        <w:lastRenderedPageBreak/>
        <w:t>Notable Bordeaux Estates</w:t>
      </w:r>
    </w:p>
    <w:p w14:paraId="768ABFBF" w14:textId="65251859" w:rsidR="00DE3B04" w:rsidRPr="00DE3B04" w:rsidRDefault="00DB5EB1" w:rsidP="00DE3B04">
      <w:pPr>
        <w:rPr>
          <w:rFonts w:ascii="Times New Roman" w:hAnsi="Times New Roman" w:cs="Times New Roman"/>
          <w:b/>
          <w:bCs/>
          <w:sz w:val="36"/>
          <w:szCs w:val="36"/>
        </w:rPr>
      </w:pPr>
      <w:r>
        <w:rPr>
          <w:noProof/>
        </w:rPr>
        <w:drawing>
          <wp:anchor distT="0" distB="0" distL="114300" distR="114300" simplePos="0" relativeHeight="251663360" behindDoc="0" locked="0" layoutInCell="1" allowOverlap="1" wp14:anchorId="08710F6B" wp14:editId="23A9DA42">
            <wp:simplePos x="0" y="0"/>
            <wp:positionH relativeFrom="margin">
              <wp:align>left</wp:align>
            </wp:positionH>
            <wp:positionV relativeFrom="paragraph">
              <wp:posOffset>300355</wp:posOffset>
            </wp:positionV>
            <wp:extent cx="2691130" cy="2771775"/>
            <wp:effectExtent l="0" t="0" r="0" b="9525"/>
            <wp:wrapSquare wrapText="bothSides"/>
            <wp:docPr id="13782367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691130" cy="2771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3B04" w:rsidRPr="00DE3B04">
        <w:rPr>
          <w:rFonts w:ascii="Times New Roman" w:hAnsi="Times New Roman" w:cs="Times New Roman"/>
          <w:b/>
          <w:bCs/>
          <w:sz w:val="36"/>
          <w:szCs w:val="36"/>
        </w:rPr>
        <w:t>First Growths (1855 Classification)</w:t>
      </w:r>
      <w:r w:rsidRPr="00DB5EB1">
        <w:t xml:space="preserve"> </w:t>
      </w:r>
    </w:p>
    <w:p w14:paraId="43EAEEA8" w14:textId="77777777" w:rsidR="00DE3B04" w:rsidRPr="00DE3B04" w:rsidRDefault="00DE3B04" w:rsidP="00DE3B04">
      <w:pPr>
        <w:numPr>
          <w:ilvl w:val="0"/>
          <w:numId w:val="8"/>
        </w:numPr>
        <w:rPr>
          <w:rFonts w:ascii="Times New Roman" w:hAnsi="Times New Roman" w:cs="Times New Roman"/>
          <w:sz w:val="36"/>
          <w:szCs w:val="36"/>
        </w:rPr>
      </w:pPr>
      <w:r w:rsidRPr="00DE3B04">
        <w:rPr>
          <w:rFonts w:ascii="Times New Roman" w:hAnsi="Times New Roman" w:cs="Times New Roman"/>
          <w:b/>
          <w:bCs/>
          <w:sz w:val="36"/>
          <w:szCs w:val="36"/>
        </w:rPr>
        <w:t>Château Lafite Rothschild</w:t>
      </w:r>
      <w:r w:rsidRPr="00DE3B04">
        <w:rPr>
          <w:rFonts w:ascii="Times New Roman" w:hAnsi="Times New Roman" w:cs="Times New Roman"/>
          <w:sz w:val="36"/>
          <w:szCs w:val="36"/>
        </w:rPr>
        <w:t xml:space="preserve"> (Pauillac) – Elegant, perfumed, and long-lived.</w:t>
      </w:r>
    </w:p>
    <w:p w14:paraId="26D28F01" w14:textId="77777777" w:rsidR="00DE3B04" w:rsidRPr="00DE3B04" w:rsidRDefault="00DE3B04" w:rsidP="00DE3B04">
      <w:pPr>
        <w:numPr>
          <w:ilvl w:val="0"/>
          <w:numId w:val="8"/>
        </w:numPr>
        <w:rPr>
          <w:rFonts w:ascii="Times New Roman" w:hAnsi="Times New Roman" w:cs="Times New Roman"/>
          <w:sz w:val="36"/>
          <w:szCs w:val="36"/>
        </w:rPr>
      </w:pPr>
      <w:r w:rsidRPr="00DE3B04">
        <w:rPr>
          <w:rFonts w:ascii="Times New Roman" w:hAnsi="Times New Roman" w:cs="Times New Roman"/>
          <w:b/>
          <w:bCs/>
          <w:sz w:val="36"/>
          <w:szCs w:val="36"/>
        </w:rPr>
        <w:t>Château Latour</w:t>
      </w:r>
      <w:r w:rsidRPr="00DE3B04">
        <w:rPr>
          <w:rFonts w:ascii="Times New Roman" w:hAnsi="Times New Roman" w:cs="Times New Roman"/>
          <w:sz w:val="36"/>
          <w:szCs w:val="36"/>
        </w:rPr>
        <w:t xml:space="preserve"> (Pauillac) – Powerful, structured, and intensely concentrated.</w:t>
      </w:r>
    </w:p>
    <w:p w14:paraId="76C4E962" w14:textId="5B23FBBA" w:rsidR="00DE3B04" w:rsidRPr="00DE3B04" w:rsidRDefault="00DB5EB1" w:rsidP="00DE3B04">
      <w:pPr>
        <w:numPr>
          <w:ilvl w:val="0"/>
          <w:numId w:val="8"/>
        </w:numPr>
        <w:rPr>
          <w:rFonts w:ascii="Times New Roman" w:hAnsi="Times New Roman" w:cs="Times New Roman"/>
          <w:sz w:val="36"/>
          <w:szCs w:val="36"/>
        </w:rPr>
      </w:pPr>
      <w:r>
        <w:rPr>
          <w:noProof/>
        </w:rPr>
        <mc:AlternateContent>
          <mc:Choice Requires="wps">
            <w:drawing>
              <wp:anchor distT="0" distB="0" distL="114300" distR="114300" simplePos="0" relativeHeight="251668480" behindDoc="0" locked="0" layoutInCell="1" allowOverlap="1" wp14:anchorId="6AF320F2" wp14:editId="0E7CEFE8">
                <wp:simplePos x="0" y="0"/>
                <wp:positionH relativeFrom="margin">
                  <wp:align>left</wp:align>
                </wp:positionH>
                <wp:positionV relativeFrom="paragraph">
                  <wp:posOffset>626745</wp:posOffset>
                </wp:positionV>
                <wp:extent cx="2691130" cy="635"/>
                <wp:effectExtent l="0" t="0" r="0" b="0"/>
                <wp:wrapSquare wrapText="bothSides"/>
                <wp:docPr id="623653435" name="Text Box 1"/>
                <wp:cNvGraphicFramePr/>
                <a:graphic xmlns:a="http://schemas.openxmlformats.org/drawingml/2006/main">
                  <a:graphicData uri="http://schemas.microsoft.com/office/word/2010/wordprocessingShape">
                    <wps:wsp>
                      <wps:cNvSpPr txBox="1"/>
                      <wps:spPr>
                        <a:xfrm>
                          <a:off x="0" y="0"/>
                          <a:ext cx="2691130" cy="635"/>
                        </a:xfrm>
                        <a:prstGeom prst="rect">
                          <a:avLst/>
                        </a:prstGeom>
                        <a:solidFill>
                          <a:prstClr val="white"/>
                        </a:solidFill>
                        <a:ln>
                          <a:noFill/>
                        </a:ln>
                      </wps:spPr>
                      <wps:txbx>
                        <w:txbxContent>
                          <w:p w14:paraId="48F7151D" w14:textId="66876245" w:rsidR="00DB5EB1" w:rsidRPr="002D3024" w:rsidRDefault="00DB5EB1" w:rsidP="00DB5EB1">
                            <w:pPr>
                              <w:pStyle w:val="Caption"/>
                              <w:jc w:val="center"/>
                              <w:rPr>
                                <w:noProof/>
                              </w:rPr>
                            </w:pPr>
                            <w:r>
                              <w:t xml:space="preserve">Figure </w:t>
                            </w:r>
                            <w:fldSimple w:instr=" SEQ Figure \* ARABIC ">
                              <w:r>
                                <w:rPr>
                                  <w:noProof/>
                                </w:rPr>
                                <w:t>2</w:t>
                              </w:r>
                            </w:fldSimple>
                            <w:r>
                              <w:t xml:space="preserve"> </w:t>
                            </w:r>
                            <w:r w:rsidRPr="005211F2">
                              <w:t>Château Lafite Rothschild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F320F2" id="_x0000_s1027" type="#_x0000_t202" style="position:absolute;left:0;text-align:left;margin-left:0;margin-top:49.35pt;width:211.9pt;height:.05pt;z-index:2516684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" stroked="f">
                <v:textbox style="mso-fit-shape-to-text:t" inset="0,0,0,0">
                  <w:txbxContent>
                    <w:p w14:paraId="48F7151D" w14:textId="66876245" w:rsidR="00DB5EB1" w:rsidRPr="002D3024" w:rsidRDefault="00DB5EB1" w:rsidP="00DB5EB1">
                      <w:pPr>
                        <w:pStyle w:val="Caption"/>
                        <w:jc w:val="center"/>
                        <w:rPr>
                          <w:noProof/>
                        </w:rPr>
                      </w:pPr>
                      <w:r>
                        <w:t xml:space="preserve">Figure </w:t>
                      </w:r>
                      <w:fldSimple w:instr=" SEQ Figure \* ARABIC ">
                        <w:r>
                          <w:rPr>
                            <w:noProof/>
                          </w:rPr>
                          <w:t>2</w:t>
                        </w:r>
                      </w:fldSimple>
                      <w:r>
                        <w:t xml:space="preserve"> </w:t>
                      </w:r>
                      <w:r w:rsidRPr="005211F2">
                        <w:t>Château Lafite Rothschild</w:t>
                      </w:r>
                    </w:p>
                  </w:txbxContent>
                </v:textbox>
                <w10:wrap type="square" anchorx="margin"/>
              </v:shape>
            </w:pict>
          </mc:Fallback>
        </mc:AlternateContent>
      </w:r>
      <w:r w:rsidR="00DE3B04" w:rsidRPr="00DE3B04">
        <w:rPr>
          <w:rFonts w:ascii="Times New Roman" w:hAnsi="Times New Roman" w:cs="Times New Roman"/>
          <w:b/>
          <w:bCs/>
          <w:sz w:val="36"/>
          <w:szCs w:val="36"/>
        </w:rPr>
        <w:t>Château Margaux</w:t>
      </w:r>
      <w:r w:rsidR="00DE3B04" w:rsidRPr="00DE3B04">
        <w:rPr>
          <w:rFonts w:ascii="Times New Roman" w:hAnsi="Times New Roman" w:cs="Times New Roman"/>
          <w:sz w:val="36"/>
          <w:szCs w:val="36"/>
        </w:rPr>
        <w:t xml:space="preserve"> (Margaux) – The epitome of finesse and fragrance.</w:t>
      </w:r>
    </w:p>
    <w:p w14:paraId="7B3A5480" w14:textId="77777777" w:rsidR="00DE3B04" w:rsidRPr="00DE3B04" w:rsidRDefault="00DE3B04" w:rsidP="00DE3B04">
      <w:pPr>
        <w:numPr>
          <w:ilvl w:val="0"/>
          <w:numId w:val="8"/>
        </w:numPr>
        <w:rPr>
          <w:rFonts w:ascii="Times New Roman" w:hAnsi="Times New Roman" w:cs="Times New Roman"/>
          <w:sz w:val="36"/>
          <w:szCs w:val="36"/>
        </w:rPr>
      </w:pPr>
      <w:r w:rsidRPr="00DE3B04">
        <w:rPr>
          <w:rFonts w:ascii="Times New Roman" w:hAnsi="Times New Roman" w:cs="Times New Roman"/>
          <w:b/>
          <w:bCs/>
          <w:sz w:val="36"/>
          <w:szCs w:val="36"/>
        </w:rPr>
        <w:t>Château Haut-Brion</w:t>
      </w:r>
      <w:r w:rsidRPr="00DE3B04">
        <w:rPr>
          <w:rFonts w:ascii="Times New Roman" w:hAnsi="Times New Roman" w:cs="Times New Roman"/>
          <w:sz w:val="36"/>
          <w:szCs w:val="36"/>
        </w:rPr>
        <w:t xml:space="preserve"> (Graves) – The only First Growth outside the Médoc, blending opulence with earthiness.</w:t>
      </w:r>
    </w:p>
    <w:p w14:paraId="07C8B51B" w14:textId="77777777" w:rsidR="00DE3B04" w:rsidRPr="00DE3B04" w:rsidRDefault="00DE3B04" w:rsidP="00DE3B04">
      <w:pPr>
        <w:numPr>
          <w:ilvl w:val="0"/>
          <w:numId w:val="8"/>
        </w:numPr>
        <w:rPr>
          <w:rFonts w:ascii="Times New Roman" w:hAnsi="Times New Roman" w:cs="Times New Roman"/>
          <w:sz w:val="36"/>
          <w:szCs w:val="36"/>
        </w:rPr>
      </w:pPr>
      <w:r w:rsidRPr="00DE3B04">
        <w:rPr>
          <w:rFonts w:ascii="Times New Roman" w:hAnsi="Times New Roman" w:cs="Times New Roman"/>
          <w:b/>
          <w:bCs/>
          <w:sz w:val="36"/>
          <w:szCs w:val="36"/>
        </w:rPr>
        <w:t>Château Mouton Rothschild</w:t>
      </w:r>
      <w:r w:rsidRPr="00DE3B04">
        <w:rPr>
          <w:rFonts w:ascii="Times New Roman" w:hAnsi="Times New Roman" w:cs="Times New Roman"/>
          <w:sz w:val="36"/>
          <w:szCs w:val="36"/>
        </w:rPr>
        <w:t xml:space="preserve"> (Pauillac) – Bold and expressive, known for its iconic artist-designed labels.</w:t>
      </w:r>
    </w:p>
    <w:p w14:paraId="39D87100" w14:textId="77777777" w:rsidR="00DE3B04" w:rsidRPr="00DE3B04" w:rsidRDefault="00DE3B04" w:rsidP="00DE3B04">
      <w:pPr>
        <w:rPr>
          <w:rFonts w:ascii="Times New Roman" w:hAnsi="Times New Roman" w:cs="Times New Roman"/>
          <w:b/>
          <w:bCs/>
          <w:sz w:val="36"/>
          <w:szCs w:val="36"/>
        </w:rPr>
      </w:pPr>
      <w:r w:rsidRPr="00DE3B04">
        <w:rPr>
          <w:rFonts w:ascii="Times New Roman" w:hAnsi="Times New Roman" w:cs="Times New Roman"/>
          <w:b/>
          <w:bCs/>
          <w:sz w:val="36"/>
          <w:szCs w:val="36"/>
        </w:rPr>
        <w:t>Other Prestigious Estates</w:t>
      </w:r>
    </w:p>
    <w:p w14:paraId="3F73DC93" w14:textId="77777777" w:rsidR="00DE3B04" w:rsidRPr="00DE3B04" w:rsidRDefault="00DE3B04" w:rsidP="00DE3B04">
      <w:pPr>
        <w:numPr>
          <w:ilvl w:val="0"/>
          <w:numId w:val="9"/>
        </w:numPr>
        <w:rPr>
          <w:rFonts w:ascii="Times New Roman" w:hAnsi="Times New Roman" w:cs="Times New Roman"/>
          <w:sz w:val="36"/>
          <w:szCs w:val="36"/>
        </w:rPr>
      </w:pPr>
      <w:r w:rsidRPr="00DE3B04">
        <w:rPr>
          <w:rFonts w:ascii="Times New Roman" w:hAnsi="Times New Roman" w:cs="Times New Roman"/>
          <w:b/>
          <w:bCs/>
          <w:sz w:val="36"/>
          <w:szCs w:val="36"/>
        </w:rPr>
        <w:t>Château Pétrus (Pomerol)</w:t>
      </w:r>
      <w:r w:rsidRPr="00DE3B04">
        <w:rPr>
          <w:rFonts w:ascii="Times New Roman" w:hAnsi="Times New Roman" w:cs="Times New Roman"/>
          <w:sz w:val="36"/>
          <w:szCs w:val="36"/>
        </w:rPr>
        <w:t xml:space="preserve"> – A Right Bank legend, made from nearly pure Merlot, known for its depth and silkiness.</w:t>
      </w:r>
    </w:p>
    <w:p w14:paraId="5AE1C97E" w14:textId="77777777" w:rsidR="00DE3B04" w:rsidRPr="00DE3B04" w:rsidRDefault="00DE3B04" w:rsidP="00DE3B04">
      <w:pPr>
        <w:numPr>
          <w:ilvl w:val="0"/>
          <w:numId w:val="9"/>
        </w:numPr>
        <w:rPr>
          <w:rFonts w:ascii="Times New Roman" w:hAnsi="Times New Roman" w:cs="Times New Roman"/>
          <w:sz w:val="36"/>
          <w:szCs w:val="36"/>
        </w:rPr>
      </w:pPr>
      <w:r w:rsidRPr="00DE3B04">
        <w:rPr>
          <w:rFonts w:ascii="Times New Roman" w:hAnsi="Times New Roman" w:cs="Times New Roman"/>
          <w:b/>
          <w:bCs/>
          <w:sz w:val="36"/>
          <w:szCs w:val="36"/>
        </w:rPr>
        <w:t>Château Cheval Blanc (Saint-</w:t>
      </w:r>
      <w:proofErr w:type="spellStart"/>
      <w:r w:rsidRPr="00DE3B04">
        <w:rPr>
          <w:rFonts w:ascii="Times New Roman" w:hAnsi="Times New Roman" w:cs="Times New Roman"/>
          <w:b/>
          <w:bCs/>
          <w:sz w:val="36"/>
          <w:szCs w:val="36"/>
        </w:rPr>
        <w:t>Émilion</w:t>
      </w:r>
      <w:proofErr w:type="spellEnd"/>
      <w:r w:rsidRPr="00DE3B04">
        <w:rPr>
          <w:rFonts w:ascii="Times New Roman" w:hAnsi="Times New Roman" w:cs="Times New Roman"/>
          <w:b/>
          <w:bCs/>
          <w:sz w:val="36"/>
          <w:szCs w:val="36"/>
        </w:rPr>
        <w:t>)</w:t>
      </w:r>
      <w:r w:rsidRPr="00DE3B04">
        <w:rPr>
          <w:rFonts w:ascii="Times New Roman" w:hAnsi="Times New Roman" w:cs="Times New Roman"/>
          <w:sz w:val="36"/>
          <w:szCs w:val="36"/>
        </w:rPr>
        <w:t xml:space="preserve"> – An elegant, Cabernet Franc-dominant wine with great longevity.</w:t>
      </w:r>
    </w:p>
    <w:p w14:paraId="22FBDBAA" w14:textId="7CA0D296" w:rsidR="00DE3B04" w:rsidRPr="00DE3B04" w:rsidRDefault="00DB5EB1" w:rsidP="00DE3B04">
      <w:pPr>
        <w:numPr>
          <w:ilvl w:val="0"/>
          <w:numId w:val="9"/>
        </w:numPr>
        <w:rPr>
          <w:rFonts w:ascii="Times New Roman" w:hAnsi="Times New Roman" w:cs="Times New Roman"/>
          <w:sz w:val="36"/>
          <w:szCs w:val="36"/>
        </w:rPr>
      </w:pPr>
      <w:r>
        <w:rPr>
          <w:noProof/>
        </w:rPr>
        <w:lastRenderedPageBreak/>
        <mc:AlternateContent>
          <mc:Choice Requires="wps">
            <w:drawing>
              <wp:anchor distT="0" distB="0" distL="114300" distR="114300" simplePos="0" relativeHeight="251666432" behindDoc="0" locked="0" layoutInCell="1" allowOverlap="1" wp14:anchorId="40BBCC30" wp14:editId="3F29B2DD">
                <wp:simplePos x="0" y="0"/>
                <wp:positionH relativeFrom="column">
                  <wp:posOffset>4562475</wp:posOffset>
                </wp:positionH>
                <wp:positionV relativeFrom="paragraph">
                  <wp:posOffset>4821555</wp:posOffset>
                </wp:positionV>
                <wp:extent cx="1343025" cy="635"/>
                <wp:effectExtent l="0" t="0" r="0" b="0"/>
                <wp:wrapSquare wrapText="bothSides"/>
                <wp:docPr id="124929134" name="Text Box 1"/>
                <wp:cNvGraphicFramePr/>
                <a:graphic xmlns:a="http://schemas.openxmlformats.org/drawingml/2006/main">
                  <a:graphicData uri="http://schemas.microsoft.com/office/word/2010/wordprocessingShape">
                    <wps:wsp>
                      <wps:cNvSpPr txBox="1"/>
                      <wps:spPr>
                        <a:xfrm>
                          <a:off x="0" y="0"/>
                          <a:ext cx="1343025" cy="635"/>
                        </a:xfrm>
                        <a:prstGeom prst="rect">
                          <a:avLst/>
                        </a:prstGeom>
                        <a:solidFill>
                          <a:prstClr val="white"/>
                        </a:solidFill>
                        <a:ln>
                          <a:noFill/>
                        </a:ln>
                      </wps:spPr>
                      <wps:txbx>
                        <w:txbxContent>
                          <w:p w14:paraId="47919045" w14:textId="239DD1E1" w:rsidR="00DB5EB1" w:rsidRPr="00344908" w:rsidRDefault="00DB5EB1" w:rsidP="00DB5EB1">
                            <w:pPr>
                              <w:pStyle w:val="Caption"/>
                              <w:jc w:val="center"/>
                              <w:rPr>
                                <w:rFonts w:ascii="Times New Roman" w:hAnsi="Times New Roman" w:cs="Times New Roman"/>
                                <w:b/>
                                <w:bCs/>
                                <w:sz w:val="36"/>
                                <w:szCs w:val="36"/>
                              </w:rPr>
                            </w:pPr>
                            <w:r>
                              <w:t xml:space="preserve">Figure </w:t>
                            </w:r>
                            <w:fldSimple w:instr=" SEQ Figure \* ARABIC ">
                              <w:r>
                                <w:rPr>
                                  <w:noProof/>
                                </w:rPr>
                                <w:t>3</w:t>
                              </w:r>
                            </w:fldSimple>
                            <w:r>
                              <w:t xml:space="preserve"> </w:t>
                            </w:r>
                            <w:r w:rsidRPr="00A22778">
                              <w:t xml:space="preserve">Château </w:t>
                            </w:r>
                            <w:proofErr w:type="spellStart"/>
                            <w:r w:rsidRPr="00A22778">
                              <w:t>d'Yquem</w:t>
                            </w:r>
                            <w:proofErr w:type="spellEnd"/>
                            <w:r w:rsidRPr="00A22778">
                              <w:t xml:space="preserve"> Y Bordeaux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BBCC30" id="_x0000_s1028" type="#_x0000_t202" style="position:absolute;left:0;text-align:left;margin-left:359.25pt;margin-top:379.65pt;width:105.7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" stroked="f">
                <v:textbox style="mso-fit-shape-to-text:t" inset="0,0,0,0">
                  <w:txbxContent>
                    <w:p w14:paraId="47919045" w14:textId="239DD1E1" w:rsidR="00DB5EB1" w:rsidRPr="00344908" w:rsidRDefault="00DB5EB1" w:rsidP="00DB5EB1">
                      <w:pPr>
                        <w:pStyle w:val="Caption"/>
                        <w:jc w:val="center"/>
                        <w:rPr>
                          <w:rFonts w:ascii="Times New Roman" w:hAnsi="Times New Roman" w:cs="Times New Roman"/>
                          <w:b/>
                          <w:bCs/>
                          <w:sz w:val="36"/>
                          <w:szCs w:val="36"/>
                        </w:rPr>
                      </w:pPr>
                      <w:r>
                        <w:t xml:space="preserve">Figure </w:t>
                      </w:r>
                      <w:fldSimple w:instr=" SEQ Figure \* ARABIC ">
                        <w:r>
                          <w:rPr>
                            <w:noProof/>
                          </w:rPr>
                          <w:t>3</w:t>
                        </w:r>
                      </w:fldSimple>
                      <w:r>
                        <w:t xml:space="preserve"> </w:t>
                      </w:r>
                      <w:r w:rsidRPr="00A22778">
                        <w:t xml:space="preserve">Château </w:t>
                      </w:r>
                      <w:proofErr w:type="spellStart"/>
                      <w:r w:rsidRPr="00A22778">
                        <w:t>d'Yquem</w:t>
                      </w:r>
                      <w:proofErr w:type="spellEnd"/>
                      <w:r w:rsidRPr="00A22778">
                        <w:t xml:space="preserve"> Y Bordeaux 2018</w:t>
                      </w:r>
                    </w:p>
                  </w:txbxContent>
                </v:textbox>
                <w10:wrap type="square"/>
              </v:shape>
            </w:pict>
          </mc:Fallback>
        </mc:AlternateContent>
      </w:r>
      <w:r w:rsidRPr="00DB5EB1">
        <w:rPr>
          <w:rFonts w:ascii="Times New Roman" w:hAnsi="Times New Roman" w:cs="Times New Roman"/>
          <w:b/>
          <w:bCs/>
          <w:noProof/>
          <w:sz w:val="36"/>
          <w:szCs w:val="36"/>
        </w:rPr>
        <w:drawing>
          <wp:anchor distT="0" distB="0" distL="114300" distR="114300" simplePos="0" relativeHeight="251664384" behindDoc="0" locked="0" layoutInCell="1" allowOverlap="1" wp14:anchorId="7C614300" wp14:editId="61F58987">
            <wp:simplePos x="0" y="0"/>
            <wp:positionH relativeFrom="column">
              <wp:posOffset>4562475</wp:posOffset>
            </wp:positionH>
            <wp:positionV relativeFrom="paragraph">
              <wp:posOffset>11430</wp:posOffset>
            </wp:positionV>
            <wp:extent cx="1343025" cy="4752975"/>
            <wp:effectExtent l="0" t="0" r="0" b="9525"/>
            <wp:wrapSquare wrapText="bothSides"/>
            <wp:docPr id="1850684038" name="Picture 7" descr="Château d'Yquem Y Bordeaux 2018 | Fiche produit | SAQ.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âteau d'Yquem Y Bordeaux 2018 | Fiche produit | SAQ.COM"/>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1343025" cy="4752975"/>
                    </a:xfrm>
                    <a:prstGeom prst="rect">
                      <a:avLst/>
                    </a:prstGeom>
                    <a:noFill/>
                    <a:ln>
                      <a:noFill/>
                    </a:ln>
                    <a:extLst>
                      <a:ext uri="{53640926-AAD7-44D8-BBD7-CCE9431645EC}">
                        <a14:shadowObscured xmlns:a14="http://schemas.microsoft.com/office/drawing/2010/main"/>
                      </a:ext>
                    </a:extLst>
                  </pic:spPr>
                </pic:pic>
              </a:graphicData>
            </a:graphic>
          </wp:anchor>
        </w:drawing>
      </w:r>
      <w:r w:rsidR="00DE3B04" w:rsidRPr="00DE3B04">
        <w:rPr>
          <w:rFonts w:ascii="Times New Roman" w:hAnsi="Times New Roman" w:cs="Times New Roman"/>
          <w:b/>
          <w:bCs/>
          <w:sz w:val="36"/>
          <w:szCs w:val="36"/>
        </w:rPr>
        <w:t xml:space="preserve">Château </w:t>
      </w:r>
      <w:proofErr w:type="spellStart"/>
      <w:r w:rsidR="00DE3B04" w:rsidRPr="00DE3B04">
        <w:rPr>
          <w:rFonts w:ascii="Times New Roman" w:hAnsi="Times New Roman" w:cs="Times New Roman"/>
          <w:b/>
          <w:bCs/>
          <w:sz w:val="36"/>
          <w:szCs w:val="36"/>
        </w:rPr>
        <w:t>d’Yquem</w:t>
      </w:r>
      <w:proofErr w:type="spellEnd"/>
      <w:r w:rsidR="00DE3B04" w:rsidRPr="00DE3B04">
        <w:rPr>
          <w:rFonts w:ascii="Times New Roman" w:hAnsi="Times New Roman" w:cs="Times New Roman"/>
          <w:b/>
          <w:bCs/>
          <w:sz w:val="36"/>
          <w:szCs w:val="36"/>
        </w:rPr>
        <w:t xml:space="preserve"> (Sauternes)</w:t>
      </w:r>
      <w:r w:rsidR="00DE3B04" w:rsidRPr="00DE3B04">
        <w:rPr>
          <w:rFonts w:ascii="Times New Roman" w:hAnsi="Times New Roman" w:cs="Times New Roman"/>
          <w:sz w:val="36"/>
          <w:szCs w:val="36"/>
        </w:rPr>
        <w:t xml:space="preserve"> – The world’s most renowned </w:t>
      </w:r>
      <w:r w:rsidR="00DE3B04" w:rsidRPr="00DE3B04">
        <w:rPr>
          <w:rFonts w:ascii="Times New Roman" w:hAnsi="Times New Roman" w:cs="Times New Roman"/>
          <w:b/>
          <w:bCs/>
          <w:sz w:val="36"/>
          <w:szCs w:val="36"/>
        </w:rPr>
        <w:t>sweet wine</w:t>
      </w:r>
      <w:r w:rsidR="00DE3B04" w:rsidRPr="00DE3B04">
        <w:rPr>
          <w:rFonts w:ascii="Times New Roman" w:hAnsi="Times New Roman" w:cs="Times New Roman"/>
          <w:sz w:val="36"/>
          <w:szCs w:val="36"/>
        </w:rPr>
        <w:t>, capable of aging for decades.</w:t>
      </w:r>
    </w:p>
    <w:p w14:paraId="3326CA05" w14:textId="77777777" w:rsidR="00DE3B04" w:rsidRPr="00DE3B04" w:rsidRDefault="00DE3B04" w:rsidP="00DE3B04">
      <w:pPr>
        <w:rPr>
          <w:rFonts w:ascii="Times New Roman" w:hAnsi="Times New Roman" w:cs="Times New Roman"/>
          <w:b/>
          <w:bCs/>
          <w:sz w:val="36"/>
          <w:szCs w:val="36"/>
        </w:rPr>
      </w:pPr>
      <w:r w:rsidRPr="00DE3B04">
        <w:rPr>
          <w:rFonts w:ascii="Times New Roman" w:hAnsi="Times New Roman" w:cs="Times New Roman"/>
          <w:b/>
          <w:bCs/>
          <w:sz w:val="36"/>
          <w:szCs w:val="36"/>
        </w:rPr>
        <w:t>Key Takeaways for Sommeliers</w:t>
      </w:r>
    </w:p>
    <w:p w14:paraId="722103AC" w14:textId="77777777" w:rsidR="00DE3B04" w:rsidRPr="00DE3B04" w:rsidRDefault="00DE3B04" w:rsidP="00DE3B04">
      <w:pPr>
        <w:numPr>
          <w:ilvl w:val="0"/>
          <w:numId w:val="10"/>
        </w:numPr>
        <w:rPr>
          <w:rFonts w:ascii="Times New Roman" w:hAnsi="Times New Roman" w:cs="Times New Roman"/>
          <w:sz w:val="36"/>
          <w:szCs w:val="36"/>
        </w:rPr>
      </w:pPr>
      <w:r w:rsidRPr="00DE3B04">
        <w:rPr>
          <w:rFonts w:ascii="Times New Roman" w:hAnsi="Times New Roman" w:cs="Times New Roman"/>
          <w:b/>
          <w:bCs/>
          <w:sz w:val="36"/>
          <w:szCs w:val="36"/>
        </w:rPr>
        <w:t>Left Bank = Cabernet Sauvignon dominance, Right Bank = Merlot dominance</w:t>
      </w:r>
      <w:r w:rsidRPr="00DE3B04">
        <w:rPr>
          <w:rFonts w:ascii="Times New Roman" w:hAnsi="Times New Roman" w:cs="Times New Roman"/>
          <w:sz w:val="36"/>
          <w:szCs w:val="36"/>
        </w:rPr>
        <w:t xml:space="preserve"> – Understanding this fundamental distinction is key.</w:t>
      </w:r>
    </w:p>
    <w:p w14:paraId="7796BFDD" w14:textId="77777777" w:rsidR="00DE3B04" w:rsidRPr="00DE3B04" w:rsidRDefault="00DE3B04" w:rsidP="00DE3B04">
      <w:pPr>
        <w:numPr>
          <w:ilvl w:val="0"/>
          <w:numId w:val="10"/>
        </w:numPr>
        <w:rPr>
          <w:rFonts w:ascii="Times New Roman" w:hAnsi="Times New Roman" w:cs="Times New Roman"/>
          <w:sz w:val="36"/>
          <w:szCs w:val="36"/>
        </w:rPr>
      </w:pPr>
      <w:r w:rsidRPr="00DE3B04">
        <w:rPr>
          <w:rFonts w:ascii="Times New Roman" w:hAnsi="Times New Roman" w:cs="Times New Roman"/>
          <w:b/>
          <w:bCs/>
          <w:sz w:val="36"/>
          <w:szCs w:val="36"/>
        </w:rPr>
        <w:t>Classification matters</w:t>
      </w:r>
      <w:r w:rsidRPr="00DE3B04">
        <w:rPr>
          <w:rFonts w:ascii="Times New Roman" w:hAnsi="Times New Roman" w:cs="Times New Roman"/>
          <w:sz w:val="36"/>
          <w:szCs w:val="36"/>
        </w:rPr>
        <w:t xml:space="preserve"> – The </w:t>
      </w:r>
      <w:r w:rsidRPr="00DE3B04">
        <w:rPr>
          <w:rFonts w:ascii="Times New Roman" w:hAnsi="Times New Roman" w:cs="Times New Roman"/>
          <w:b/>
          <w:bCs/>
          <w:sz w:val="36"/>
          <w:szCs w:val="36"/>
        </w:rPr>
        <w:t>1855 ranking still holds influence</w:t>
      </w:r>
      <w:r w:rsidRPr="00DE3B04">
        <w:rPr>
          <w:rFonts w:ascii="Times New Roman" w:hAnsi="Times New Roman" w:cs="Times New Roman"/>
          <w:sz w:val="36"/>
          <w:szCs w:val="36"/>
        </w:rPr>
        <w:t xml:space="preserve">, while the </w:t>
      </w:r>
      <w:r w:rsidRPr="00DE3B04">
        <w:rPr>
          <w:rFonts w:ascii="Times New Roman" w:hAnsi="Times New Roman" w:cs="Times New Roman"/>
          <w:b/>
          <w:bCs/>
          <w:sz w:val="36"/>
          <w:szCs w:val="36"/>
        </w:rPr>
        <w:t>Saint-</w:t>
      </w:r>
      <w:proofErr w:type="spellStart"/>
      <w:r w:rsidRPr="00DE3B04">
        <w:rPr>
          <w:rFonts w:ascii="Times New Roman" w:hAnsi="Times New Roman" w:cs="Times New Roman"/>
          <w:b/>
          <w:bCs/>
          <w:sz w:val="36"/>
          <w:szCs w:val="36"/>
        </w:rPr>
        <w:t>Émilion</w:t>
      </w:r>
      <w:proofErr w:type="spellEnd"/>
      <w:r w:rsidRPr="00DE3B04">
        <w:rPr>
          <w:rFonts w:ascii="Times New Roman" w:hAnsi="Times New Roman" w:cs="Times New Roman"/>
          <w:b/>
          <w:bCs/>
          <w:sz w:val="36"/>
          <w:szCs w:val="36"/>
        </w:rPr>
        <w:t xml:space="preserve"> classification evolves</w:t>
      </w:r>
      <w:r w:rsidRPr="00DE3B04">
        <w:rPr>
          <w:rFonts w:ascii="Times New Roman" w:hAnsi="Times New Roman" w:cs="Times New Roman"/>
          <w:sz w:val="36"/>
          <w:szCs w:val="36"/>
        </w:rPr>
        <w:t>.</w:t>
      </w:r>
    </w:p>
    <w:p w14:paraId="6D4B6E27" w14:textId="77777777" w:rsidR="00DE3B04" w:rsidRPr="00DE3B04" w:rsidRDefault="00DE3B04" w:rsidP="00DE3B04">
      <w:pPr>
        <w:numPr>
          <w:ilvl w:val="0"/>
          <w:numId w:val="10"/>
        </w:numPr>
        <w:rPr>
          <w:rFonts w:ascii="Times New Roman" w:hAnsi="Times New Roman" w:cs="Times New Roman"/>
          <w:sz w:val="36"/>
          <w:szCs w:val="36"/>
        </w:rPr>
      </w:pPr>
      <w:r w:rsidRPr="00DE3B04">
        <w:rPr>
          <w:rFonts w:ascii="Times New Roman" w:hAnsi="Times New Roman" w:cs="Times New Roman"/>
          <w:b/>
          <w:bCs/>
          <w:sz w:val="36"/>
          <w:szCs w:val="36"/>
        </w:rPr>
        <w:t>Bordeaux wines age exceptionally well</w:t>
      </w:r>
      <w:r w:rsidRPr="00DE3B04">
        <w:rPr>
          <w:rFonts w:ascii="Times New Roman" w:hAnsi="Times New Roman" w:cs="Times New Roman"/>
          <w:sz w:val="36"/>
          <w:szCs w:val="36"/>
        </w:rPr>
        <w:t xml:space="preserve"> – Many Grand Cru Classé wines require </w:t>
      </w:r>
      <w:r w:rsidRPr="00DE3B04">
        <w:rPr>
          <w:rFonts w:ascii="Times New Roman" w:hAnsi="Times New Roman" w:cs="Times New Roman"/>
          <w:b/>
          <w:bCs/>
          <w:sz w:val="36"/>
          <w:szCs w:val="36"/>
        </w:rPr>
        <w:t>decades of cellaring</w:t>
      </w:r>
      <w:r w:rsidRPr="00DE3B04">
        <w:rPr>
          <w:rFonts w:ascii="Times New Roman" w:hAnsi="Times New Roman" w:cs="Times New Roman"/>
          <w:sz w:val="36"/>
          <w:szCs w:val="36"/>
        </w:rPr>
        <w:t>.</w:t>
      </w:r>
    </w:p>
    <w:p w14:paraId="01CDCB87" w14:textId="77777777" w:rsidR="00DE3B04" w:rsidRPr="00DE3B04" w:rsidRDefault="00DE3B04" w:rsidP="00DE3B04">
      <w:pPr>
        <w:numPr>
          <w:ilvl w:val="0"/>
          <w:numId w:val="10"/>
        </w:numPr>
        <w:rPr>
          <w:rFonts w:ascii="Times New Roman" w:hAnsi="Times New Roman" w:cs="Times New Roman"/>
          <w:sz w:val="36"/>
          <w:szCs w:val="36"/>
        </w:rPr>
      </w:pPr>
      <w:r w:rsidRPr="00DE3B04">
        <w:rPr>
          <w:rFonts w:ascii="Times New Roman" w:hAnsi="Times New Roman" w:cs="Times New Roman"/>
          <w:b/>
          <w:bCs/>
          <w:sz w:val="36"/>
          <w:szCs w:val="36"/>
        </w:rPr>
        <w:t>Food pairings</w:t>
      </w:r>
      <w:r w:rsidRPr="00DE3B04">
        <w:rPr>
          <w:rFonts w:ascii="Times New Roman" w:hAnsi="Times New Roman" w:cs="Times New Roman"/>
          <w:sz w:val="36"/>
          <w:szCs w:val="36"/>
        </w:rPr>
        <w:t xml:space="preserve"> – Classic Bordeaux reds pair well with </w:t>
      </w:r>
      <w:r w:rsidRPr="00DE3B04">
        <w:rPr>
          <w:rFonts w:ascii="Times New Roman" w:hAnsi="Times New Roman" w:cs="Times New Roman"/>
          <w:b/>
          <w:bCs/>
          <w:sz w:val="36"/>
          <w:szCs w:val="36"/>
        </w:rPr>
        <w:t>steak, lamb, and aged cheeses</w:t>
      </w:r>
      <w:r w:rsidRPr="00DE3B04">
        <w:rPr>
          <w:rFonts w:ascii="Times New Roman" w:hAnsi="Times New Roman" w:cs="Times New Roman"/>
          <w:sz w:val="36"/>
          <w:szCs w:val="36"/>
        </w:rPr>
        <w:t xml:space="preserve">, while </w:t>
      </w:r>
      <w:r w:rsidRPr="00DE3B04">
        <w:rPr>
          <w:rFonts w:ascii="Times New Roman" w:hAnsi="Times New Roman" w:cs="Times New Roman"/>
          <w:b/>
          <w:bCs/>
          <w:sz w:val="36"/>
          <w:szCs w:val="36"/>
        </w:rPr>
        <w:t>Sauternes</w:t>
      </w:r>
      <w:r w:rsidRPr="00DE3B04">
        <w:rPr>
          <w:rFonts w:ascii="Times New Roman" w:hAnsi="Times New Roman" w:cs="Times New Roman"/>
          <w:sz w:val="36"/>
          <w:szCs w:val="36"/>
        </w:rPr>
        <w:t xml:space="preserve"> shines with </w:t>
      </w:r>
      <w:r w:rsidRPr="00DE3B04">
        <w:rPr>
          <w:rFonts w:ascii="Times New Roman" w:hAnsi="Times New Roman" w:cs="Times New Roman"/>
          <w:b/>
          <w:bCs/>
          <w:sz w:val="36"/>
          <w:szCs w:val="36"/>
        </w:rPr>
        <w:t>foie gras and blue cheese</w:t>
      </w:r>
      <w:r w:rsidRPr="00DE3B04">
        <w:rPr>
          <w:rFonts w:ascii="Times New Roman" w:hAnsi="Times New Roman" w:cs="Times New Roman"/>
          <w:sz w:val="36"/>
          <w:szCs w:val="36"/>
        </w:rPr>
        <w:t>.</w:t>
      </w:r>
    </w:p>
    <w:p w14:paraId="4F05A92C" w14:textId="77777777" w:rsidR="00DE3B04" w:rsidRPr="00DE3B04" w:rsidRDefault="00DE3B04" w:rsidP="00DE3B04">
      <w:pPr>
        <w:rPr>
          <w:rFonts w:ascii="Times New Roman" w:hAnsi="Times New Roman" w:cs="Times New Roman"/>
          <w:b/>
          <w:bCs/>
          <w:sz w:val="36"/>
          <w:szCs w:val="36"/>
        </w:rPr>
      </w:pPr>
      <w:r w:rsidRPr="00DE3B04">
        <w:rPr>
          <w:rFonts w:ascii="Times New Roman" w:hAnsi="Times New Roman" w:cs="Times New Roman"/>
          <w:b/>
          <w:bCs/>
          <w:sz w:val="36"/>
          <w:szCs w:val="36"/>
        </w:rPr>
        <w:t>Final Thoughts</w:t>
      </w:r>
    </w:p>
    <w:p w14:paraId="74032A68" w14:textId="2E8D2C1B" w:rsidR="00DE3B04" w:rsidRPr="00DE3B04" w:rsidRDefault="00DE3B04">
      <w:pPr>
        <w:rPr>
          <w:rFonts w:ascii="Times New Roman" w:hAnsi="Times New Roman" w:cs="Times New Roman"/>
          <w:sz w:val="36"/>
          <w:szCs w:val="36"/>
        </w:rPr>
      </w:pPr>
      <w:r w:rsidRPr="00DE3B04">
        <w:rPr>
          <w:rFonts w:ascii="Times New Roman" w:hAnsi="Times New Roman" w:cs="Times New Roman"/>
          <w:sz w:val="36"/>
          <w:szCs w:val="36"/>
        </w:rPr>
        <w:t xml:space="preserve">Bordeaux remains the </w:t>
      </w:r>
      <w:r w:rsidRPr="00DE3B04">
        <w:rPr>
          <w:rFonts w:ascii="Times New Roman" w:hAnsi="Times New Roman" w:cs="Times New Roman"/>
          <w:b/>
          <w:bCs/>
          <w:sz w:val="36"/>
          <w:szCs w:val="36"/>
        </w:rPr>
        <w:t>gold standard for fine wine</w:t>
      </w:r>
      <w:r w:rsidRPr="00DE3B04">
        <w:rPr>
          <w:rFonts w:ascii="Times New Roman" w:hAnsi="Times New Roman" w:cs="Times New Roman"/>
          <w:sz w:val="36"/>
          <w:szCs w:val="36"/>
        </w:rPr>
        <w:t xml:space="preserve">, balancing </w:t>
      </w:r>
      <w:r w:rsidRPr="00DE3B04">
        <w:rPr>
          <w:rFonts w:ascii="Times New Roman" w:hAnsi="Times New Roman" w:cs="Times New Roman"/>
          <w:b/>
          <w:bCs/>
          <w:sz w:val="36"/>
          <w:szCs w:val="36"/>
        </w:rPr>
        <w:t>power, structure, and elegance</w:t>
      </w:r>
      <w:r w:rsidRPr="00DE3B04">
        <w:rPr>
          <w:rFonts w:ascii="Times New Roman" w:hAnsi="Times New Roman" w:cs="Times New Roman"/>
          <w:sz w:val="36"/>
          <w:szCs w:val="36"/>
        </w:rPr>
        <w:t xml:space="preserve">. Whether exploring the </w:t>
      </w:r>
      <w:r w:rsidRPr="00DE3B04">
        <w:rPr>
          <w:rFonts w:ascii="Times New Roman" w:hAnsi="Times New Roman" w:cs="Times New Roman"/>
          <w:b/>
          <w:bCs/>
          <w:sz w:val="36"/>
          <w:szCs w:val="36"/>
        </w:rPr>
        <w:t>iconic First Growths</w:t>
      </w:r>
      <w:r w:rsidRPr="00DE3B04">
        <w:rPr>
          <w:rFonts w:ascii="Times New Roman" w:hAnsi="Times New Roman" w:cs="Times New Roman"/>
          <w:sz w:val="36"/>
          <w:szCs w:val="36"/>
        </w:rPr>
        <w:t xml:space="preserve">, discovering </w:t>
      </w:r>
      <w:r w:rsidRPr="00DE3B04">
        <w:rPr>
          <w:rFonts w:ascii="Times New Roman" w:hAnsi="Times New Roman" w:cs="Times New Roman"/>
          <w:b/>
          <w:bCs/>
          <w:sz w:val="36"/>
          <w:szCs w:val="36"/>
        </w:rPr>
        <w:t>hidden gems from Pomerol</w:t>
      </w:r>
      <w:r w:rsidRPr="00DE3B04">
        <w:rPr>
          <w:rFonts w:ascii="Times New Roman" w:hAnsi="Times New Roman" w:cs="Times New Roman"/>
          <w:sz w:val="36"/>
          <w:szCs w:val="36"/>
        </w:rPr>
        <w:t xml:space="preserve">, or enjoying the richness of </w:t>
      </w:r>
      <w:r w:rsidRPr="00DE3B04">
        <w:rPr>
          <w:rFonts w:ascii="Times New Roman" w:hAnsi="Times New Roman" w:cs="Times New Roman"/>
          <w:b/>
          <w:bCs/>
          <w:sz w:val="36"/>
          <w:szCs w:val="36"/>
        </w:rPr>
        <w:t>Sauternes</w:t>
      </w:r>
      <w:r w:rsidRPr="00DE3B04">
        <w:rPr>
          <w:rFonts w:ascii="Times New Roman" w:hAnsi="Times New Roman" w:cs="Times New Roman"/>
          <w:sz w:val="36"/>
          <w:szCs w:val="36"/>
        </w:rPr>
        <w:t>, mastering Bordeaux is an essential part of every sommelier’s journey.</w:t>
      </w:r>
    </w:p>
    <w:sectPr w:rsidR="00DE3B04" w:rsidRPr="00DE3B0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B4DFE6" w14:textId="77777777" w:rsidR="00FA7F04" w:rsidRDefault="00FA7F04" w:rsidP="00360A9A">
      <w:pPr>
        <w:spacing w:after="0" w:line="240" w:lineRule="auto"/>
      </w:pPr>
      <w:r>
        <w:separator/>
      </w:r>
    </w:p>
  </w:endnote>
  <w:endnote w:type="continuationSeparator" w:id="0">
    <w:p w14:paraId="1610255F" w14:textId="77777777" w:rsidR="00FA7F04" w:rsidRDefault="00FA7F04" w:rsidP="00360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335F6A" w14:textId="77777777" w:rsidR="00FA7F04" w:rsidRDefault="00FA7F04" w:rsidP="00360A9A">
      <w:pPr>
        <w:spacing w:after="0" w:line="240" w:lineRule="auto"/>
      </w:pPr>
      <w:r>
        <w:separator/>
      </w:r>
    </w:p>
  </w:footnote>
  <w:footnote w:type="continuationSeparator" w:id="0">
    <w:p w14:paraId="171F1FB3" w14:textId="77777777" w:rsidR="00FA7F04" w:rsidRDefault="00FA7F04" w:rsidP="00360A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AD3070"/>
    <w:multiLevelType w:val="multilevel"/>
    <w:tmpl w:val="FDB24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F22977"/>
    <w:multiLevelType w:val="multilevel"/>
    <w:tmpl w:val="CC602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7E4146"/>
    <w:multiLevelType w:val="multilevel"/>
    <w:tmpl w:val="DAF80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851A2B"/>
    <w:multiLevelType w:val="multilevel"/>
    <w:tmpl w:val="12DE2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461C24"/>
    <w:multiLevelType w:val="multilevel"/>
    <w:tmpl w:val="93A46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81069B"/>
    <w:multiLevelType w:val="multilevel"/>
    <w:tmpl w:val="55F05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702FCF"/>
    <w:multiLevelType w:val="multilevel"/>
    <w:tmpl w:val="A8B25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7ED4DF4"/>
    <w:multiLevelType w:val="multilevel"/>
    <w:tmpl w:val="A96C0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1D34EE"/>
    <w:multiLevelType w:val="multilevel"/>
    <w:tmpl w:val="881E4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BB6461"/>
    <w:multiLevelType w:val="multilevel"/>
    <w:tmpl w:val="45A66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89353334">
    <w:abstractNumId w:val="3"/>
  </w:num>
  <w:num w:numId="2" w16cid:durableId="1483814464">
    <w:abstractNumId w:val="5"/>
  </w:num>
  <w:num w:numId="3" w16cid:durableId="133958523">
    <w:abstractNumId w:val="9"/>
  </w:num>
  <w:num w:numId="4" w16cid:durableId="869344537">
    <w:abstractNumId w:val="1"/>
  </w:num>
  <w:num w:numId="5" w16cid:durableId="1155879652">
    <w:abstractNumId w:val="6"/>
  </w:num>
  <w:num w:numId="6" w16cid:durableId="20320612">
    <w:abstractNumId w:val="2"/>
  </w:num>
  <w:num w:numId="7" w16cid:durableId="1988171189">
    <w:abstractNumId w:val="4"/>
  </w:num>
  <w:num w:numId="8" w16cid:durableId="1343238123">
    <w:abstractNumId w:val="8"/>
  </w:num>
  <w:num w:numId="9" w16cid:durableId="2067803184">
    <w:abstractNumId w:val="0"/>
  </w:num>
  <w:num w:numId="10" w16cid:durableId="201668908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B04"/>
    <w:rsid w:val="0000135A"/>
    <w:rsid w:val="0018674A"/>
    <w:rsid w:val="0029483B"/>
    <w:rsid w:val="00360A9A"/>
    <w:rsid w:val="0050186D"/>
    <w:rsid w:val="00D337DF"/>
    <w:rsid w:val="00DB5EB1"/>
    <w:rsid w:val="00DE3B04"/>
    <w:rsid w:val="00E60E36"/>
    <w:rsid w:val="00FA7F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275F1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3B0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E3B0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E3B0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E3B0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E3B0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E3B0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3B0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3B0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3B0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3B0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E3B0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E3B0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E3B0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E3B0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E3B0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3B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3B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3B04"/>
    <w:rPr>
      <w:rFonts w:eastAsiaTheme="majorEastAsia" w:cstheme="majorBidi"/>
      <w:color w:val="272727" w:themeColor="text1" w:themeTint="D8"/>
    </w:rPr>
  </w:style>
  <w:style w:type="paragraph" w:styleId="Title">
    <w:name w:val="Title"/>
    <w:basedOn w:val="Normal"/>
    <w:next w:val="Normal"/>
    <w:link w:val="TitleChar"/>
    <w:uiPriority w:val="10"/>
    <w:qFormat/>
    <w:rsid w:val="00DE3B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3B0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3B0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3B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3B04"/>
    <w:pPr>
      <w:spacing w:before="160"/>
      <w:jc w:val="center"/>
    </w:pPr>
    <w:rPr>
      <w:i/>
      <w:iCs/>
      <w:color w:val="404040" w:themeColor="text1" w:themeTint="BF"/>
    </w:rPr>
  </w:style>
  <w:style w:type="character" w:customStyle="1" w:styleId="QuoteChar">
    <w:name w:val="Quote Char"/>
    <w:basedOn w:val="DefaultParagraphFont"/>
    <w:link w:val="Quote"/>
    <w:uiPriority w:val="29"/>
    <w:rsid w:val="00DE3B04"/>
    <w:rPr>
      <w:i/>
      <w:iCs/>
      <w:color w:val="404040" w:themeColor="text1" w:themeTint="BF"/>
    </w:rPr>
  </w:style>
  <w:style w:type="paragraph" w:styleId="ListParagraph">
    <w:name w:val="List Paragraph"/>
    <w:basedOn w:val="Normal"/>
    <w:uiPriority w:val="34"/>
    <w:qFormat/>
    <w:rsid w:val="00DE3B04"/>
    <w:pPr>
      <w:ind w:left="720"/>
      <w:contextualSpacing/>
    </w:pPr>
  </w:style>
  <w:style w:type="character" w:styleId="IntenseEmphasis">
    <w:name w:val="Intense Emphasis"/>
    <w:basedOn w:val="DefaultParagraphFont"/>
    <w:uiPriority w:val="21"/>
    <w:qFormat/>
    <w:rsid w:val="00DE3B04"/>
    <w:rPr>
      <w:i/>
      <w:iCs/>
      <w:color w:val="2F5496" w:themeColor="accent1" w:themeShade="BF"/>
    </w:rPr>
  </w:style>
  <w:style w:type="paragraph" w:styleId="IntenseQuote">
    <w:name w:val="Intense Quote"/>
    <w:basedOn w:val="Normal"/>
    <w:next w:val="Normal"/>
    <w:link w:val="IntenseQuoteChar"/>
    <w:uiPriority w:val="30"/>
    <w:qFormat/>
    <w:rsid w:val="00DE3B0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E3B04"/>
    <w:rPr>
      <w:i/>
      <w:iCs/>
      <w:color w:val="2F5496" w:themeColor="accent1" w:themeShade="BF"/>
    </w:rPr>
  </w:style>
  <w:style w:type="character" w:styleId="IntenseReference">
    <w:name w:val="Intense Reference"/>
    <w:basedOn w:val="DefaultParagraphFont"/>
    <w:uiPriority w:val="32"/>
    <w:qFormat/>
    <w:rsid w:val="00DE3B04"/>
    <w:rPr>
      <w:b/>
      <w:bCs/>
      <w:smallCaps/>
      <w:color w:val="2F5496" w:themeColor="accent1" w:themeShade="BF"/>
      <w:spacing w:val="5"/>
    </w:rPr>
  </w:style>
  <w:style w:type="paragraph" w:styleId="Caption">
    <w:name w:val="caption"/>
    <w:basedOn w:val="Normal"/>
    <w:next w:val="Normal"/>
    <w:uiPriority w:val="35"/>
    <w:unhideWhenUsed/>
    <w:qFormat/>
    <w:rsid w:val="0000135A"/>
    <w:pPr>
      <w:spacing w:after="200" w:line="240" w:lineRule="auto"/>
    </w:pPr>
    <w:rPr>
      <w:i/>
      <w:iCs/>
      <w:color w:val="44546A" w:themeColor="text2"/>
      <w:sz w:val="18"/>
      <w:szCs w:val="18"/>
    </w:rPr>
  </w:style>
  <w:style w:type="paragraph" w:styleId="Header">
    <w:name w:val="header"/>
    <w:basedOn w:val="Normal"/>
    <w:link w:val="HeaderChar"/>
    <w:uiPriority w:val="99"/>
    <w:unhideWhenUsed/>
    <w:rsid w:val="00360A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0A9A"/>
  </w:style>
  <w:style w:type="paragraph" w:styleId="Footer">
    <w:name w:val="footer"/>
    <w:basedOn w:val="Normal"/>
    <w:link w:val="FooterChar"/>
    <w:uiPriority w:val="99"/>
    <w:unhideWhenUsed/>
    <w:rsid w:val="00360A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0A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906301">
      <w:bodyDiv w:val="1"/>
      <w:marLeft w:val="0"/>
      <w:marRight w:val="0"/>
      <w:marTop w:val="0"/>
      <w:marBottom w:val="0"/>
      <w:divBdr>
        <w:top w:val="none" w:sz="0" w:space="0" w:color="auto"/>
        <w:left w:val="none" w:sz="0" w:space="0" w:color="auto"/>
        <w:bottom w:val="none" w:sz="0" w:space="0" w:color="auto"/>
        <w:right w:val="none" w:sz="0" w:space="0" w:color="auto"/>
      </w:divBdr>
    </w:div>
    <w:div w:id="1238248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924</Words>
  <Characters>5270</Characters>
  <Application>Microsoft Office Word</Application>
  <DocSecurity>0</DocSecurity>
  <Lines>43</Lines>
  <Paragraphs>12</Paragraphs>
  <ScaleCrop>false</ScaleCrop>
  <Company/>
  <LinksUpToDate>false</LinksUpToDate>
  <CharactersWithSpaces>6182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2025-05-13T21:47:00Z</dcterms:created>
  <dcterms:modified xsi:type="dcterms:W3CDTF">2025-05-13T21:48:00Z</dcterms:modified>
</cp:coreProperties>
</file>