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F56C5" w14:textId="77777777"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t>Beaujolais: The Expression of Gamay and Terroir</w:t>
      </w:r>
    </w:p>
    <w:p w14:paraId="5530B382" w14:textId="438D5237" w:rsidR="001D3BFF" w:rsidRDefault="001D3BFF" w:rsidP="001D3BFF">
      <w:pPr>
        <w:rPr>
          <w:rFonts w:ascii="Times New Roman" w:hAnsi="Times New Roman" w:cs="Times New Roman"/>
          <w:sz w:val="36"/>
          <w:szCs w:val="36"/>
        </w:rPr>
      </w:pPr>
      <w:r w:rsidRPr="001D3BFF">
        <w:rPr>
          <w:rFonts w:ascii="Times New Roman" w:hAnsi="Times New Roman" w:cs="Times New Roman"/>
          <w:b/>
          <w:bCs/>
          <w:sz w:val="36"/>
          <w:szCs w:val="36"/>
        </w:rPr>
        <w:t>Region Overview:</w:t>
      </w:r>
      <w:r w:rsidRPr="001D3BFF">
        <w:rPr>
          <w:rFonts w:ascii="Times New Roman" w:hAnsi="Times New Roman" w:cs="Times New Roman"/>
          <w:sz w:val="36"/>
          <w:szCs w:val="36"/>
        </w:rPr>
        <w:t xml:space="preserve"> Beaujolais, situated in the southernmost part of Burgundy, is bordered by Burgundy to the north and Rhône to the south. Renowned primarily for vibrant, fruit-driven red wines made from Gamay, the region enjoys a warmer semi-continental climate compared to the rest of Burgundy, ideal for approachable, fresh wines. While historically overshadowed by Burgundy’s Pinot Noir and Chardonnay, Beaujolais has increasingly gained recognition for unique traditions like carbonic maceration and its distinct terroir expressions.</w:t>
      </w:r>
    </w:p>
    <w:p w14:paraId="0D02E38C" w14:textId="2E7F4F3E" w:rsidR="000A1BA1" w:rsidRPr="001D3BFF" w:rsidRDefault="000A1BA1" w:rsidP="001D3BFF">
      <w:pPr>
        <w:rPr>
          <w:rFonts w:ascii="Times New Roman" w:hAnsi="Times New Roman" w:cs="Times New Roman"/>
          <w:sz w:val="36"/>
          <w:szCs w:val="36"/>
        </w:rPr>
      </w:pPr>
      <w:r>
        <w:rPr>
          <w:noProof/>
        </w:rPr>
        <w:drawing>
          <wp:anchor distT="0" distB="0" distL="114300" distR="114300" simplePos="0" relativeHeight="251658240" behindDoc="0" locked="0" layoutInCell="1" allowOverlap="1" wp14:anchorId="2743922D" wp14:editId="6B4E67E9">
            <wp:simplePos x="0" y="0"/>
            <wp:positionH relativeFrom="column">
              <wp:posOffset>0</wp:posOffset>
            </wp:positionH>
            <wp:positionV relativeFrom="paragraph">
              <wp:posOffset>1905</wp:posOffset>
            </wp:positionV>
            <wp:extent cx="5943600" cy="4203700"/>
            <wp:effectExtent l="0" t="0" r="0" b="6350"/>
            <wp:wrapSquare wrapText="bothSides"/>
            <wp:docPr id="791003841" name="Picture 1" descr="Beaujolais Wine Region Map » Cellar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aujolais Wine Region Map » Cellar Tou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203700"/>
                    </a:xfrm>
                    <a:prstGeom prst="rect">
                      <a:avLst/>
                    </a:prstGeom>
                    <a:noFill/>
                    <a:ln>
                      <a:noFill/>
                    </a:ln>
                  </pic:spPr>
                </pic:pic>
              </a:graphicData>
            </a:graphic>
          </wp:anchor>
        </w:drawing>
      </w:r>
    </w:p>
    <w:p w14:paraId="48636A4D" w14:textId="77777777"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t>Key Grape Varieties</w:t>
      </w:r>
    </w:p>
    <w:p w14:paraId="28F1F147" w14:textId="77777777"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lastRenderedPageBreak/>
        <w:t>Primary Red Variety:</w:t>
      </w:r>
    </w:p>
    <w:p w14:paraId="64C1FA72" w14:textId="77777777" w:rsidR="001D3BFF" w:rsidRPr="001D3BFF" w:rsidRDefault="001D3BFF" w:rsidP="001D3BFF">
      <w:pPr>
        <w:numPr>
          <w:ilvl w:val="0"/>
          <w:numId w:val="20"/>
        </w:numPr>
        <w:rPr>
          <w:rFonts w:ascii="Times New Roman" w:hAnsi="Times New Roman" w:cs="Times New Roman"/>
          <w:sz w:val="36"/>
          <w:szCs w:val="36"/>
        </w:rPr>
      </w:pPr>
      <w:r w:rsidRPr="001D3BFF">
        <w:rPr>
          <w:rFonts w:ascii="Times New Roman" w:hAnsi="Times New Roman" w:cs="Times New Roman"/>
          <w:sz w:val="36"/>
          <w:szCs w:val="36"/>
        </w:rPr>
        <w:t>Gamay: Bright red fruit, soft tannins, versatile; the defining grape of the region.</w:t>
      </w:r>
    </w:p>
    <w:p w14:paraId="00B1D676" w14:textId="77777777"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t>Primary White Variety:</w:t>
      </w:r>
    </w:p>
    <w:p w14:paraId="417D27B0" w14:textId="77777777" w:rsidR="001D3BFF" w:rsidRPr="001D3BFF" w:rsidRDefault="001D3BFF" w:rsidP="001D3BFF">
      <w:pPr>
        <w:numPr>
          <w:ilvl w:val="0"/>
          <w:numId w:val="21"/>
        </w:numPr>
        <w:rPr>
          <w:rFonts w:ascii="Times New Roman" w:hAnsi="Times New Roman" w:cs="Times New Roman"/>
          <w:sz w:val="36"/>
          <w:szCs w:val="36"/>
        </w:rPr>
      </w:pPr>
      <w:r w:rsidRPr="001D3BFF">
        <w:rPr>
          <w:rFonts w:ascii="Times New Roman" w:hAnsi="Times New Roman" w:cs="Times New Roman"/>
          <w:sz w:val="36"/>
          <w:szCs w:val="36"/>
        </w:rPr>
        <w:t>Chardonnay: Limited production, typically fresh, citrus-driven in Beaujolais Blanc.</w:t>
      </w:r>
    </w:p>
    <w:p w14:paraId="796854F7" w14:textId="77777777" w:rsidR="001D3BFF" w:rsidRPr="001D3BFF" w:rsidRDefault="001D3BFF" w:rsidP="001D3BFF">
      <w:pPr>
        <w:rPr>
          <w:rFonts w:ascii="Times New Roman" w:hAnsi="Times New Roman" w:cs="Times New Roman"/>
          <w:sz w:val="36"/>
          <w:szCs w:val="36"/>
        </w:rPr>
      </w:pPr>
      <w:r w:rsidRPr="001D3BFF">
        <w:rPr>
          <w:rFonts w:ascii="Times New Roman" w:hAnsi="Times New Roman" w:cs="Times New Roman"/>
          <w:sz w:val="36"/>
          <w:szCs w:val="36"/>
        </w:rPr>
        <w:t>Wine Classification System Beaujolais is structured into three tiers:</w:t>
      </w:r>
    </w:p>
    <w:p w14:paraId="32907EB8" w14:textId="77777777" w:rsidR="001D3BFF" w:rsidRPr="001D3BFF" w:rsidRDefault="001D3BFF" w:rsidP="001D3BFF">
      <w:pPr>
        <w:numPr>
          <w:ilvl w:val="0"/>
          <w:numId w:val="22"/>
        </w:numPr>
        <w:rPr>
          <w:rFonts w:ascii="Times New Roman" w:hAnsi="Times New Roman" w:cs="Times New Roman"/>
          <w:sz w:val="36"/>
          <w:szCs w:val="36"/>
        </w:rPr>
      </w:pPr>
      <w:r w:rsidRPr="001D3BFF">
        <w:rPr>
          <w:rFonts w:ascii="Times New Roman" w:hAnsi="Times New Roman" w:cs="Times New Roman"/>
          <w:sz w:val="36"/>
          <w:szCs w:val="36"/>
        </w:rPr>
        <w:t>Beaujolais AOP: Entry-level, fresh, approachable.</w:t>
      </w:r>
    </w:p>
    <w:p w14:paraId="6C5A1D67" w14:textId="77777777" w:rsidR="001D3BFF" w:rsidRPr="001D3BFF" w:rsidRDefault="001D3BFF" w:rsidP="001D3BFF">
      <w:pPr>
        <w:numPr>
          <w:ilvl w:val="0"/>
          <w:numId w:val="22"/>
        </w:numPr>
        <w:rPr>
          <w:rFonts w:ascii="Times New Roman" w:hAnsi="Times New Roman" w:cs="Times New Roman"/>
          <w:sz w:val="36"/>
          <w:szCs w:val="36"/>
        </w:rPr>
      </w:pPr>
      <w:r w:rsidRPr="001D3BFF">
        <w:rPr>
          <w:rFonts w:ascii="Times New Roman" w:hAnsi="Times New Roman" w:cs="Times New Roman"/>
          <w:sz w:val="36"/>
          <w:szCs w:val="36"/>
        </w:rPr>
        <w:t>Beaujolais-Villages AOP: Higher quality from selected villages, exhibiting more complexity.</w:t>
      </w:r>
    </w:p>
    <w:p w14:paraId="5826D9F9" w14:textId="77777777" w:rsidR="001D3BFF" w:rsidRPr="001D3BFF" w:rsidRDefault="001D3BFF" w:rsidP="001D3BFF">
      <w:pPr>
        <w:numPr>
          <w:ilvl w:val="0"/>
          <w:numId w:val="22"/>
        </w:numPr>
        <w:rPr>
          <w:rFonts w:ascii="Times New Roman" w:hAnsi="Times New Roman" w:cs="Times New Roman"/>
          <w:sz w:val="36"/>
          <w:szCs w:val="36"/>
        </w:rPr>
      </w:pPr>
      <w:r w:rsidRPr="001D3BFF">
        <w:rPr>
          <w:rFonts w:ascii="Times New Roman" w:hAnsi="Times New Roman" w:cs="Times New Roman"/>
          <w:sz w:val="36"/>
          <w:szCs w:val="36"/>
        </w:rPr>
        <w:t>Cru Beaujolais: Highest quality, comprising ten Crus, each displaying distinct terroir-driven characteristics and potential for aging.</w:t>
      </w:r>
    </w:p>
    <w:p w14:paraId="6585127A" w14:textId="77777777" w:rsidR="001D3BFF" w:rsidRPr="001D3BFF" w:rsidRDefault="001D3BFF" w:rsidP="001D3BFF">
      <w:pPr>
        <w:rPr>
          <w:rFonts w:ascii="Times New Roman" w:hAnsi="Times New Roman" w:cs="Times New Roman"/>
          <w:sz w:val="36"/>
          <w:szCs w:val="36"/>
        </w:rPr>
      </w:pPr>
      <w:r w:rsidRPr="001D3BFF">
        <w:rPr>
          <w:rFonts w:ascii="Times New Roman" w:hAnsi="Times New Roman" w:cs="Times New Roman"/>
          <w:b/>
          <w:bCs/>
          <w:sz w:val="36"/>
          <w:szCs w:val="36"/>
        </w:rPr>
        <w:t>The ten Crus of Beaujolais</w:t>
      </w:r>
      <w:r w:rsidRPr="001D3BFF">
        <w:rPr>
          <w:rFonts w:ascii="Times New Roman" w:hAnsi="Times New Roman" w:cs="Times New Roman"/>
          <w:sz w:val="36"/>
          <w:szCs w:val="36"/>
        </w:rPr>
        <w:t xml:space="preserve"> (ordered from lightest to most structured):</w:t>
      </w:r>
    </w:p>
    <w:p w14:paraId="3D22B72D" w14:textId="77777777" w:rsidR="001D3BFF" w:rsidRPr="001D3BFF" w:rsidRDefault="001D3BFF" w:rsidP="001D3BFF">
      <w:pPr>
        <w:numPr>
          <w:ilvl w:val="0"/>
          <w:numId w:val="23"/>
        </w:numPr>
        <w:rPr>
          <w:rFonts w:ascii="Times New Roman" w:hAnsi="Times New Roman" w:cs="Times New Roman"/>
          <w:sz w:val="36"/>
          <w:szCs w:val="36"/>
        </w:rPr>
      </w:pPr>
      <w:r w:rsidRPr="001D3BFF">
        <w:rPr>
          <w:rFonts w:ascii="Times New Roman" w:hAnsi="Times New Roman" w:cs="Times New Roman"/>
          <w:sz w:val="36"/>
          <w:szCs w:val="36"/>
        </w:rPr>
        <w:t xml:space="preserve">Lighter-bodied: Brouilly, </w:t>
      </w:r>
      <w:proofErr w:type="spellStart"/>
      <w:r w:rsidRPr="001D3BFF">
        <w:rPr>
          <w:rFonts w:ascii="Times New Roman" w:hAnsi="Times New Roman" w:cs="Times New Roman"/>
          <w:sz w:val="36"/>
          <w:szCs w:val="36"/>
        </w:rPr>
        <w:t>Régnié</w:t>
      </w:r>
      <w:proofErr w:type="spellEnd"/>
    </w:p>
    <w:p w14:paraId="77D9FF8D" w14:textId="77777777" w:rsidR="001D3BFF" w:rsidRPr="001D3BFF" w:rsidRDefault="001D3BFF" w:rsidP="001D3BFF">
      <w:pPr>
        <w:numPr>
          <w:ilvl w:val="0"/>
          <w:numId w:val="23"/>
        </w:numPr>
        <w:rPr>
          <w:rFonts w:ascii="Times New Roman" w:hAnsi="Times New Roman" w:cs="Times New Roman"/>
          <w:sz w:val="36"/>
          <w:szCs w:val="36"/>
        </w:rPr>
      </w:pPr>
      <w:r w:rsidRPr="001D3BFF">
        <w:rPr>
          <w:rFonts w:ascii="Times New Roman" w:hAnsi="Times New Roman" w:cs="Times New Roman"/>
          <w:sz w:val="36"/>
          <w:szCs w:val="36"/>
        </w:rPr>
        <w:t xml:space="preserve">Medium-bodied: Chiroubles, </w:t>
      </w:r>
      <w:proofErr w:type="spellStart"/>
      <w:r w:rsidRPr="001D3BFF">
        <w:rPr>
          <w:rFonts w:ascii="Times New Roman" w:hAnsi="Times New Roman" w:cs="Times New Roman"/>
          <w:sz w:val="36"/>
          <w:szCs w:val="36"/>
        </w:rPr>
        <w:t>Fleurie</w:t>
      </w:r>
      <w:proofErr w:type="spellEnd"/>
      <w:r w:rsidRPr="001D3BFF">
        <w:rPr>
          <w:rFonts w:ascii="Times New Roman" w:hAnsi="Times New Roman" w:cs="Times New Roman"/>
          <w:sz w:val="36"/>
          <w:szCs w:val="36"/>
        </w:rPr>
        <w:t>, Saint-Amour</w:t>
      </w:r>
    </w:p>
    <w:p w14:paraId="012DCBFF" w14:textId="77777777" w:rsidR="001D3BFF" w:rsidRPr="001D3BFF" w:rsidRDefault="001D3BFF" w:rsidP="001D3BFF">
      <w:pPr>
        <w:numPr>
          <w:ilvl w:val="0"/>
          <w:numId w:val="23"/>
        </w:numPr>
        <w:rPr>
          <w:rFonts w:ascii="Times New Roman" w:hAnsi="Times New Roman" w:cs="Times New Roman"/>
          <w:sz w:val="36"/>
          <w:szCs w:val="36"/>
        </w:rPr>
      </w:pPr>
      <w:r w:rsidRPr="001D3BFF">
        <w:rPr>
          <w:rFonts w:ascii="Times New Roman" w:hAnsi="Times New Roman" w:cs="Times New Roman"/>
          <w:sz w:val="36"/>
          <w:szCs w:val="36"/>
        </w:rPr>
        <w:t xml:space="preserve">Structured and age-worthy: Morgon, Moulin-à-Vent, </w:t>
      </w:r>
      <w:proofErr w:type="spellStart"/>
      <w:r w:rsidRPr="001D3BFF">
        <w:rPr>
          <w:rFonts w:ascii="Times New Roman" w:hAnsi="Times New Roman" w:cs="Times New Roman"/>
          <w:sz w:val="36"/>
          <w:szCs w:val="36"/>
        </w:rPr>
        <w:t>Juliénas</w:t>
      </w:r>
      <w:proofErr w:type="spellEnd"/>
      <w:r w:rsidRPr="001D3BFF">
        <w:rPr>
          <w:rFonts w:ascii="Times New Roman" w:hAnsi="Times New Roman" w:cs="Times New Roman"/>
          <w:sz w:val="36"/>
          <w:szCs w:val="36"/>
        </w:rPr>
        <w:t xml:space="preserve">, Côte de Brouilly, </w:t>
      </w:r>
      <w:proofErr w:type="spellStart"/>
      <w:r w:rsidRPr="001D3BFF">
        <w:rPr>
          <w:rFonts w:ascii="Times New Roman" w:hAnsi="Times New Roman" w:cs="Times New Roman"/>
          <w:sz w:val="36"/>
          <w:szCs w:val="36"/>
        </w:rPr>
        <w:t>Chénas</w:t>
      </w:r>
      <w:proofErr w:type="spellEnd"/>
    </w:p>
    <w:p w14:paraId="54F7AE35" w14:textId="77777777"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t>Notable Wine Styles</w:t>
      </w:r>
    </w:p>
    <w:p w14:paraId="3CE3066A" w14:textId="77777777"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t>Beaujolais Nouveau:</w:t>
      </w:r>
    </w:p>
    <w:p w14:paraId="6C79E9AC" w14:textId="0F1ED57E" w:rsidR="001D3BFF" w:rsidRPr="001D3BFF" w:rsidRDefault="000A1BA1" w:rsidP="001D3BFF">
      <w:pPr>
        <w:numPr>
          <w:ilvl w:val="0"/>
          <w:numId w:val="24"/>
        </w:numPr>
        <w:rPr>
          <w:rFonts w:ascii="Times New Roman" w:hAnsi="Times New Roman" w:cs="Times New Roman"/>
          <w:sz w:val="36"/>
          <w:szCs w:val="36"/>
        </w:rPr>
      </w:pPr>
      <w:r>
        <w:rPr>
          <w:noProof/>
        </w:rPr>
        <w:lastRenderedPageBreak/>
        <w:drawing>
          <wp:anchor distT="0" distB="0" distL="114300" distR="114300" simplePos="0" relativeHeight="251659264" behindDoc="0" locked="0" layoutInCell="1" allowOverlap="1" wp14:anchorId="04E68928" wp14:editId="708B447C">
            <wp:simplePos x="0" y="0"/>
            <wp:positionH relativeFrom="column">
              <wp:posOffset>5114925</wp:posOffset>
            </wp:positionH>
            <wp:positionV relativeFrom="paragraph">
              <wp:posOffset>30480</wp:posOffset>
            </wp:positionV>
            <wp:extent cx="704850" cy="2266950"/>
            <wp:effectExtent l="0" t="0" r="0" b="0"/>
            <wp:wrapSquare wrapText="bothSides"/>
            <wp:docPr id="1678140201" name="Picture 2" descr="French Red Wine, AOP Beaujolais Vill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nch Red Wine, AOP Beaujolais Villag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643" r="24286"/>
                    <a:stretch/>
                  </pic:blipFill>
                  <pic:spPr bwMode="auto">
                    <a:xfrm>
                      <a:off x="0" y="0"/>
                      <a:ext cx="704850" cy="2266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3BFF" w:rsidRPr="001D3BFF">
        <w:rPr>
          <w:rFonts w:ascii="Times New Roman" w:hAnsi="Times New Roman" w:cs="Times New Roman"/>
          <w:sz w:val="36"/>
          <w:szCs w:val="36"/>
        </w:rPr>
        <w:t>Classification: Beaujolais AOP</w:t>
      </w:r>
      <w:r w:rsidRPr="000A1BA1">
        <w:t xml:space="preserve"> </w:t>
      </w:r>
    </w:p>
    <w:p w14:paraId="1C064B2C" w14:textId="49A60ED2" w:rsidR="001D3BFF" w:rsidRPr="001D3BFF" w:rsidRDefault="001D3BFF" w:rsidP="001D3BFF">
      <w:pPr>
        <w:numPr>
          <w:ilvl w:val="0"/>
          <w:numId w:val="24"/>
        </w:numPr>
        <w:rPr>
          <w:rFonts w:ascii="Times New Roman" w:hAnsi="Times New Roman" w:cs="Times New Roman"/>
          <w:sz w:val="36"/>
          <w:szCs w:val="36"/>
        </w:rPr>
      </w:pPr>
      <w:r w:rsidRPr="001D3BFF">
        <w:rPr>
          <w:rFonts w:ascii="Times New Roman" w:hAnsi="Times New Roman" w:cs="Times New Roman"/>
          <w:sz w:val="36"/>
          <w:szCs w:val="36"/>
        </w:rPr>
        <w:t>Composition: 100% Gamay</w:t>
      </w:r>
    </w:p>
    <w:p w14:paraId="387E88D0" w14:textId="5C5836A7" w:rsidR="001D3BFF" w:rsidRPr="001D3BFF" w:rsidRDefault="001D3BFF" w:rsidP="001D3BFF">
      <w:pPr>
        <w:numPr>
          <w:ilvl w:val="0"/>
          <w:numId w:val="24"/>
        </w:numPr>
        <w:rPr>
          <w:rFonts w:ascii="Times New Roman" w:hAnsi="Times New Roman" w:cs="Times New Roman"/>
          <w:sz w:val="36"/>
          <w:szCs w:val="36"/>
        </w:rPr>
      </w:pPr>
      <w:r w:rsidRPr="001D3BFF">
        <w:rPr>
          <w:rFonts w:ascii="Times New Roman" w:hAnsi="Times New Roman" w:cs="Times New Roman"/>
          <w:sz w:val="36"/>
          <w:szCs w:val="36"/>
        </w:rPr>
        <w:t>Method: Carbonic maceration</w:t>
      </w:r>
    </w:p>
    <w:p w14:paraId="69536562" w14:textId="74660796" w:rsidR="001D3BFF" w:rsidRPr="001D3BFF" w:rsidRDefault="001D3BFF" w:rsidP="001D3BFF">
      <w:pPr>
        <w:numPr>
          <w:ilvl w:val="0"/>
          <w:numId w:val="24"/>
        </w:numPr>
        <w:rPr>
          <w:rFonts w:ascii="Times New Roman" w:hAnsi="Times New Roman" w:cs="Times New Roman"/>
          <w:sz w:val="36"/>
          <w:szCs w:val="36"/>
        </w:rPr>
      </w:pPr>
      <w:r w:rsidRPr="001D3BFF">
        <w:rPr>
          <w:rFonts w:ascii="Times New Roman" w:hAnsi="Times New Roman" w:cs="Times New Roman"/>
          <w:sz w:val="36"/>
          <w:szCs w:val="36"/>
        </w:rPr>
        <w:t>Profile: Juicy red fruit, banana-like aromas, low tannins; consumed young</w:t>
      </w:r>
    </w:p>
    <w:p w14:paraId="3F6547EE" w14:textId="5D07BF6E" w:rsidR="001D3BFF" w:rsidRPr="001D3BFF" w:rsidRDefault="000A1BA1" w:rsidP="001D3BFF">
      <w:pPr>
        <w:numPr>
          <w:ilvl w:val="0"/>
          <w:numId w:val="24"/>
        </w:numPr>
        <w:rPr>
          <w:rFonts w:ascii="Times New Roman" w:hAnsi="Times New Roman" w:cs="Times New Roman"/>
          <w:sz w:val="36"/>
          <w:szCs w:val="36"/>
        </w:rPr>
      </w:pPr>
      <w:r w:rsidRPr="000A1BA1">
        <w:rPr>
          <w:rFonts w:ascii="Times New Roman" w:hAnsi="Times New Roman" w:cs="Times New Roman"/>
          <w:b/>
          <w:bCs/>
          <w:noProof/>
          <w:sz w:val="36"/>
          <w:szCs w:val="36"/>
        </w:rPr>
        <w:drawing>
          <wp:anchor distT="0" distB="0" distL="114300" distR="114300" simplePos="0" relativeHeight="251660288" behindDoc="0" locked="0" layoutInCell="1" allowOverlap="1" wp14:anchorId="411B365A" wp14:editId="13D41EC9">
            <wp:simplePos x="0" y="0"/>
            <wp:positionH relativeFrom="margin">
              <wp:align>left</wp:align>
            </wp:positionH>
            <wp:positionV relativeFrom="paragraph">
              <wp:posOffset>406400</wp:posOffset>
            </wp:positionV>
            <wp:extent cx="981075" cy="3299460"/>
            <wp:effectExtent l="0" t="0" r="9525" b="0"/>
            <wp:wrapSquare wrapText="bothSides"/>
            <wp:docPr id="694831369" name="Picture 4" descr="Jadot Beaujolais Villages | Total Wine &amp;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adot Beaujolais Villages | Total Wine &amp; Mor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9592" r="28776"/>
                    <a:stretch/>
                  </pic:blipFill>
                  <pic:spPr bwMode="auto">
                    <a:xfrm>
                      <a:off x="0" y="0"/>
                      <a:ext cx="981075" cy="3299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3BFF" w:rsidRPr="001D3BFF">
        <w:rPr>
          <w:rFonts w:ascii="Times New Roman" w:hAnsi="Times New Roman" w:cs="Times New Roman"/>
          <w:sz w:val="36"/>
          <w:szCs w:val="36"/>
        </w:rPr>
        <w:t>Pairings: Charcuterie, pâtés, light appetizers</w:t>
      </w:r>
    </w:p>
    <w:p w14:paraId="2B853B72" w14:textId="13BF0D36" w:rsidR="001D3BFF" w:rsidRPr="001D3BFF" w:rsidRDefault="000A1BA1" w:rsidP="001D3BFF">
      <w:pPr>
        <w:rPr>
          <w:rFonts w:ascii="Times New Roman" w:hAnsi="Times New Roman" w:cs="Times New Roman"/>
          <w:b/>
          <w:bCs/>
          <w:sz w:val="36"/>
          <w:szCs w:val="36"/>
        </w:rPr>
      </w:pPr>
      <w:r w:rsidRPr="000A1BA1">
        <w:rPr>
          <w:rFonts w:ascii="Times New Roman" w:hAnsi="Times New Roman" w:cs="Times New Roman"/>
          <w:b/>
          <w:bCs/>
          <w:sz w:val="36"/>
          <w:szCs w:val="36"/>
        </w:rPr>
        <w:t xml:space="preserve"> </w:t>
      </w:r>
      <w:r w:rsidR="001D3BFF" w:rsidRPr="001D3BFF">
        <w:rPr>
          <w:rFonts w:ascii="Times New Roman" w:hAnsi="Times New Roman" w:cs="Times New Roman"/>
          <w:b/>
          <w:bCs/>
          <w:sz w:val="36"/>
          <w:szCs w:val="36"/>
        </w:rPr>
        <w:t>Cru Beaujolais:</w:t>
      </w:r>
    </w:p>
    <w:p w14:paraId="314650EB" w14:textId="3228014D" w:rsidR="001D3BFF" w:rsidRPr="001D3BFF" w:rsidRDefault="001D3BFF" w:rsidP="001D3BFF">
      <w:pPr>
        <w:numPr>
          <w:ilvl w:val="0"/>
          <w:numId w:val="25"/>
        </w:numPr>
        <w:rPr>
          <w:rFonts w:ascii="Times New Roman" w:hAnsi="Times New Roman" w:cs="Times New Roman"/>
          <w:sz w:val="36"/>
          <w:szCs w:val="36"/>
        </w:rPr>
      </w:pPr>
      <w:r w:rsidRPr="001D3BFF">
        <w:rPr>
          <w:rFonts w:ascii="Times New Roman" w:hAnsi="Times New Roman" w:cs="Times New Roman"/>
          <w:sz w:val="36"/>
          <w:szCs w:val="36"/>
        </w:rPr>
        <w:t>Classification: Cru Beaujolais</w:t>
      </w:r>
    </w:p>
    <w:p w14:paraId="719B0C4D" w14:textId="3BF0B59F" w:rsidR="001D3BFF" w:rsidRPr="001D3BFF" w:rsidRDefault="001D3BFF" w:rsidP="001D3BFF">
      <w:pPr>
        <w:numPr>
          <w:ilvl w:val="0"/>
          <w:numId w:val="25"/>
        </w:numPr>
        <w:rPr>
          <w:rFonts w:ascii="Times New Roman" w:hAnsi="Times New Roman" w:cs="Times New Roman"/>
          <w:sz w:val="36"/>
          <w:szCs w:val="36"/>
        </w:rPr>
      </w:pPr>
      <w:r w:rsidRPr="001D3BFF">
        <w:rPr>
          <w:rFonts w:ascii="Times New Roman" w:hAnsi="Times New Roman" w:cs="Times New Roman"/>
          <w:sz w:val="36"/>
          <w:szCs w:val="36"/>
        </w:rPr>
        <w:t>Composition: 100% Gamay</w:t>
      </w:r>
    </w:p>
    <w:p w14:paraId="6433EA5E" w14:textId="71092A21" w:rsidR="001D3BFF" w:rsidRPr="001D3BFF" w:rsidRDefault="001D3BFF" w:rsidP="001D3BFF">
      <w:pPr>
        <w:numPr>
          <w:ilvl w:val="0"/>
          <w:numId w:val="25"/>
        </w:numPr>
        <w:rPr>
          <w:rFonts w:ascii="Times New Roman" w:hAnsi="Times New Roman" w:cs="Times New Roman"/>
          <w:sz w:val="36"/>
          <w:szCs w:val="36"/>
        </w:rPr>
      </w:pPr>
      <w:r w:rsidRPr="001D3BFF">
        <w:rPr>
          <w:rFonts w:ascii="Times New Roman" w:hAnsi="Times New Roman" w:cs="Times New Roman"/>
          <w:sz w:val="36"/>
          <w:szCs w:val="36"/>
        </w:rPr>
        <w:t>Method: Traditional or semi-carbonic maceration; variable oak usage</w:t>
      </w:r>
    </w:p>
    <w:p w14:paraId="36B316DA" w14:textId="52D74345" w:rsidR="001D3BFF" w:rsidRPr="001D3BFF" w:rsidRDefault="001D3BFF" w:rsidP="001D3BFF">
      <w:pPr>
        <w:numPr>
          <w:ilvl w:val="0"/>
          <w:numId w:val="25"/>
        </w:numPr>
        <w:rPr>
          <w:rFonts w:ascii="Times New Roman" w:hAnsi="Times New Roman" w:cs="Times New Roman"/>
          <w:sz w:val="36"/>
          <w:szCs w:val="36"/>
        </w:rPr>
      </w:pPr>
      <w:r w:rsidRPr="001D3BFF">
        <w:rPr>
          <w:rFonts w:ascii="Times New Roman" w:hAnsi="Times New Roman" w:cs="Times New Roman"/>
          <w:sz w:val="36"/>
          <w:szCs w:val="36"/>
        </w:rPr>
        <w:t>Profile: Ranges from floral elegance (</w:t>
      </w:r>
      <w:proofErr w:type="spellStart"/>
      <w:r w:rsidRPr="001D3BFF">
        <w:rPr>
          <w:rFonts w:ascii="Times New Roman" w:hAnsi="Times New Roman" w:cs="Times New Roman"/>
          <w:sz w:val="36"/>
          <w:szCs w:val="36"/>
        </w:rPr>
        <w:t>Fleurie</w:t>
      </w:r>
      <w:proofErr w:type="spellEnd"/>
      <w:r w:rsidRPr="001D3BFF">
        <w:rPr>
          <w:rFonts w:ascii="Times New Roman" w:hAnsi="Times New Roman" w:cs="Times New Roman"/>
          <w:sz w:val="36"/>
          <w:szCs w:val="36"/>
        </w:rPr>
        <w:t>) to structured intensity (Moulin-à-Vent)</w:t>
      </w:r>
    </w:p>
    <w:p w14:paraId="0F8088F5" w14:textId="273C9326" w:rsidR="001D3BFF" w:rsidRPr="001D3BFF" w:rsidRDefault="000A1BA1" w:rsidP="001D3BFF">
      <w:pPr>
        <w:numPr>
          <w:ilvl w:val="0"/>
          <w:numId w:val="25"/>
        </w:numPr>
        <w:rPr>
          <w:rFonts w:ascii="Times New Roman" w:hAnsi="Times New Roman" w:cs="Times New Roman"/>
          <w:sz w:val="36"/>
          <w:szCs w:val="36"/>
        </w:rPr>
      </w:pPr>
      <w:r>
        <w:rPr>
          <w:noProof/>
        </w:rPr>
        <w:drawing>
          <wp:anchor distT="0" distB="0" distL="114300" distR="114300" simplePos="0" relativeHeight="251661312" behindDoc="0" locked="0" layoutInCell="1" allowOverlap="1" wp14:anchorId="03D45EE2" wp14:editId="37204045">
            <wp:simplePos x="0" y="0"/>
            <wp:positionH relativeFrom="margin">
              <wp:posOffset>5212715</wp:posOffset>
            </wp:positionH>
            <wp:positionV relativeFrom="paragraph">
              <wp:posOffset>532765</wp:posOffset>
            </wp:positionV>
            <wp:extent cx="732790" cy="2712720"/>
            <wp:effectExtent l="0" t="0" r="0" b="0"/>
            <wp:wrapSquare wrapText="bothSides"/>
            <wp:docPr id="1401161743" name="Picture 5" descr="Beaujolais Blanc - Domaine du Père Beno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aujolais Blanc - Domaine du Père Benoi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2790" cy="2712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F" w:rsidRPr="001D3BFF">
        <w:rPr>
          <w:rFonts w:ascii="Times New Roman" w:hAnsi="Times New Roman" w:cs="Times New Roman"/>
          <w:sz w:val="36"/>
          <w:szCs w:val="36"/>
        </w:rPr>
        <w:t>Pairings: Roasted poultry, grilled meats, rich pasta dishes</w:t>
      </w:r>
    </w:p>
    <w:p w14:paraId="5112D7B9" w14:textId="2853ED3C"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t>Beaujolais Blanc:</w:t>
      </w:r>
      <w:r w:rsidR="000A1BA1" w:rsidRPr="000A1BA1">
        <w:t xml:space="preserve"> </w:t>
      </w:r>
    </w:p>
    <w:p w14:paraId="5AEAC14D" w14:textId="77777777" w:rsidR="001D3BFF" w:rsidRPr="001D3BFF" w:rsidRDefault="001D3BFF" w:rsidP="001D3BFF">
      <w:pPr>
        <w:numPr>
          <w:ilvl w:val="0"/>
          <w:numId w:val="26"/>
        </w:numPr>
        <w:rPr>
          <w:rFonts w:ascii="Times New Roman" w:hAnsi="Times New Roman" w:cs="Times New Roman"/>
          <w:sz w:val="36"/>
          <w:szCs w:val="36"/>
        </w:rPr>
      </w:pPr>
      <w:r w:rsidRPr="001D3BFF">
        <w:rPr>
          <w:rFonts w:ascii="Times New Roman" w:hAnsi="Times New Roman" w:cs="Times New Roman"/>
          <w:sz w:val="36"/>
          <w:szCs w:val="36"/>
        </w:rPr>
        <w:t>Classification: Beaujolais-Villages AOP</w:t>
      </w:r>
    </w:p>
    <w:p w14:paraId="7B0692CB" w14:textId="77777777" w:rsidR="001D3BFF" w:rsidRPr="001D3BFF" w:rsidRDefault="001D3BFF" w:rsidP="001D3BFF">
      <w:pPr>
        <w:numPr>
          <w:ilvl w:val="0"/>
          <w:numId w:val="26"/>
        </w:numPr>
        <w:rPr>
          <w:rFonts w:ascii="Times New Roman" w:hAnsi="Times New Roman" w:cs="Times New Roman"/>
          <w:sz w:val="36"/>
          <w:szCs w:val="36"/>
        </w:rPr>
      </w:pPr>
      <w:r w:rsidRPr="001D3BFF">
        <w:rPr>
          <w:rFonts w:ascii="Times New Roman" w:hAnsi="Times New Roman" w:cs="Times New Roman"/>
          <w:sz w:val="36"/>
          <w:szCs w:val="36"/>
        </w:rPr>
        <w:t>Composition: 100% Chardonnay</w:t>
      </w:r>
    </w:p>
    <w:p w14:paraId="463A5E32" w14:textId="77777777" w:rsidR="001D3BFF" w:rsidRPr="001D3BFF" w:rsidRDefault="001D3BFF" w:rsidP="001D3BFF">
      <w:pPr>
        <w:numPr>
          <w:ilvl w:val="0"/>
          <w:numId w:val="26"/>
        </w:numPr>
        <w:rPr>
          <w:rFonts w:ascii="Times New Roman" w:hAnsi="Times New Roman" w:cs="Times New Roman"/>
          <w:sz w:val="36"/>
          <w:szCs w:val="36"/>
        </w:rPr>
      </w:pPr>
      <w:r w:rsidRPr="001D3BFF">
        <w:rPr>
          <w:rFonts w:ascii="Times New Roman" w:hAnsi="Times New Roman" w:cs="Times New Roman"/>
          <w:sz w:val="36"/>
          <w:szCs w:val="36"/>
        </w:rPr>
        <w:t>Profile: Citrus, green apple, floral notes, bright acidity</w:t>
      </w:r>
    </w:p>
    <w:p w14:paraId="483C8618" w14:textId="77777777" w:rsidR="001D3BFF" w:rsidRPr="001D3BFF" w:rsidRDefault="001D3BFF" w:rsidP="001D3BFF">
      <w:pPr>
        <w:numPr>
          <w:ilvl w:val="0"/>
          <w:numId w:val="26"/>
        </w:numPr>
        <w:rPr>
          <w:rFonts w:ascii="Times New Roman" w:hAnsi="Times New Roman" w:cs="Times New Roman"/>
          <w:sz w:val="36"/>
          <w:szCs w:val="36"/>
        </w:rPr>
      </w:pPr>
      <w:r w:rsidRPr="001D3BFF">
        <w:rPr>
          <w:rFonts w:ascii="Times New Roman" w:hAnsi="Times New Roman" w:cs="Times New Roman"/>
          <w:sz w:val="36"/>
          <w:szCs w:val="36"/>
        </w:rPr>
        <w:t>Pairings: Seafood dishes, creamy sauces, soft cheeses</w:t>
      </w:r>
    </w:p>
    <w:p w14:paraId="54F13011" w14:textId="77777777"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lastRenderedPageBreak/>
        <w:t>Additional Context</w:t>
      </w:r>
    </w:p>
    <w:p w14:paraId="43CDE4DA" w14:textId="77777777" w:rsidR="001D3BFF" w:rsidRPr="001D3BFF" w:rsidRDefault="001D3BFF" w:rsidP="001D3BFF">
      <w:pPr>
        <w:numPr>
          <w:ilvl w:val="0"/>
          <w:numId w:val="27"/>
        </w:numPr>
        <w:rPr>
          <w:rFonts w:ascii="Times New Roman" w:hAnsi="Times New Roman" w:cs="Times New Roman"/>
          <w:sz w:val="36"/>
          <w:szCs w:val="36"/>
        </w:rPr>
      </w:pPr>
      <w:r w:rsidRPr="001D3BFF">
        <w:rPr>
          <w:rFonts w:ascii="Times New Roman" w:hAnsi="Times New Roman" w:cs="Times New Roman"/>
          <w:sz w:val="36"/>
          <w:szCs w:val="36"/>
        </w:rPr>
        <w:t>Recent Developments: Movement away from carbonic maceration by some producers to highlight structure, complexity, and aging potential.</w:t>
      </w:r>
    </w:p>
    <w:p w14:paraId="4CD14F85" w14:textId="77777777" w:rsidR="001D3BFF" w:rsidRPr="001D3BFF" w:rsidRDefault="001D3BFF" w:rsidP="001D3BFF">
      <w:pPr>
        <w:numPr>
          <w:ilvl w:val="0"/>
          <w:numId w:val="27"/>
        </w:numPr>
        <w:rPr>
          <w:rFonts w:ascii="Times New Roman" w:hAnsi="Times New Roman" w:cs="Times New Roman"/>
          <w:sz w:val="36"/>
          <w:szCs w:val="36"/>
        </w:rPr>
      </w:pPr>
      <w:r w:rsidRPr="001D3BFF">
        <w:rPr>
          <w:rFonts w:ascii="Times New Roman" w:hAnsi="Times New Roman" w:cs="Times New Roman"/>
          <w:sz w:val="36"/>
          <w:szCs w:val="36"/>
        </w:rPr>
        <w:t>Historical Context: Winemaking in Beaujolais dates back to Roman times; recently the region’s wines have gained renewed respect through a revival of traditional and terroir-focused winemaking.</w:t>
      </w:r>
    </w:p>
    <w:p w14:paraId="14E4705E" w14:textId="77777777"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t>Notable Producers:</w:t>
      </w:r>
    </w:p>
    <w:p w14:paraId="1AB791D4" w14:textId="77777777" w:rsidR="001D3BFF" w:rsidRPr="001D3BFF" w:rsidRDefault="001D3BFF" w:rsidP="001D3BFF">
      <w:pPr>
        <w:numPr>
          <w:ilvl w:val="0"/>
          <w:numId w:val="28"/>
        </w:numPr>
        <w:rPr>
          <w:rFonts w:ascii="Times New Roman" w:hAnsi="Times New Roman" w:cs="Times New Roman"/>
          <w:sz w:val="36"/>
          <w:szCs w:val="36"/>
        </w:rPr>
      </w:pPr>
      <w:r w:rsidRPr="001D3BFF">
        <w:rPr>
          <w:rFonts w:ascii="Times New Roman" w:hAnsi="Times New Roman" w:cs="Times New Roman"/>
          <w:sz w:val="36"/>
          <w:szCs w:val="36"/>
        </w:rPr>
        <w:t>Georges Duboeuf</w:t>
      </w:r>
    </w:p>
    <w:p w14:paraId="0F623707" w14:textId="77777777" w:rsidR="001D3BFF" w:rsidRPr="001D3BFF" w:rsidRDefault="001D3BFF" w:rsidP="001D3BFF">
      <w:pPr>
        <w:numPr>
          <w:ilvl w:val="0"/>
          <w:numId w:val="28"/>
        </w:numPr>
        <w:rPr>
          <w:rFonts w:ascii="Times New Roman" w:hAnsi="Times New Roman" w:cs="Times New Roman"/>
          <w:sz w:val="36"/>
          <w:szCs w:val="36"/>
        </w:rPr>
      </w:pPr>
      <w:r w:rsidRPr="001D3BFF">
        <w:rPr>
          <w:rFonts w:ascii="Times New Roman" w:hAnsi="Times New Roman" w:cs="Times New Roman"/>
          <w:sz w:val="36"/>
          <w:szCs w:val="36"/>
        </w:rPr>
        <w:t>Domaine Marcel Lapierre</w:t>
      </w:r>
    </w:p>
    <w:p w14:paraId="45E5C62F" w14:textId="77777777" w:rsidR="001D3BFF" w:rsidRPr="001D3BFF" w:rsidRDefault="001D3BFF" w:rsidP="001D3BFF">
      <w:pPr>
        <w:numPr>
          <w:ilvl w:val="0"/>
          <w:numId w:val="28"/>
        </w:numPr>
        <w:rPr>
          <w:rFonts w:ascii="Times New Roman" w:hAnsi="Times New Roman" w:cs="Times New Roman"/>
          <w:sz w:val="36"/>
          <w:szCs w:val="36"/>
        </w:rPr>
      </w:pPr>
      <w:r w:rsidRPr="001D3BFF">
        <w:rPr>
          <w:rFonts w:ascii="Times New Roman" w:hAnsi="Times New Roman" w:cs="Times New Roman"/>
          <w:sz w:val="36"/>
          <w:szCs w:val="36"/>
        </w:rPr>
        <w:t>Jean Foillard</w:t>
      </w:r>
    </w:p>
    <w:p w14:paraId="1AF0CD39" w14:textId="77777777" w:rsidR="001D3BFF" w:rsidRPr="001D3BFF" w:rsidRDefault="001D3BFF" w:rsidP="001D3BFF">
      <w:pPr>
        <w:numPr>
          <w:ilvl w:val="0"/>
          <w:numId w:val="28"/>
        </w:numPr>
        <w:rPr>
          <w:rFonts w:ascii="Times New Roman" w:hAnsi="Times New Roman" w:cs="Times New Roman"/>
          <w:sz w:val="36"/>
          <w:szCs w:val="36"/>
        </w:rPr>
      </w:pPr>
      <w:r w:rsidRPr="001D3BFF">
        <w:rPr>
          <w:rFonts w:ascii="Times New Roman" w:hAnsi="Times New Roman" w:cs="Times New Roman"/>
          <w:sz w:val="36"/>
          <w:szCs w:val="36"/>
        </w:rPr>
        <w:t xml:space="preserve">Château </w:t>
      </w:r>
      <w:proofErr w:type="spellStart"/>
      <w:r w:rsidRPr="001D3BFF">
        <w:rPr>
          <w:rFonts w:ascii="Times New Roman" w:hAnsi="Times New Roman" w:cs="Times New Roman"/>
          <w:sz w:val="36"/>
          <w:szCs w:val="36"/>
        </w:rPr>
        <w:t>Thivin</w:t>
      </w:r>
      <w:proofErr w:type="spellEnd"/>
    </w:p>
    <w:p w14:paraId="22FDB683" w14:textId="77777777" w:rsidR="001D3BFF" w:rsidRPr="001D3BFF" w:rsidRDefault="001D3BFF" w:rsidP="001D3BFF">
      <w:pPr>
        <w:rPr>
          <w:rFonts w:ascii="Times New Roman" w:hAnsi="Times New Roman" w:cs="Times New Roman"/>
          <w:sz w:val="36"/>
          <w:szCs w:val="36"/>
        </w:rPr>
      </w:pPr>
      <w:r w:rsidRPr="001D3BFF">
        <w:rPr>
          <w:rFonts w:ascii="Times New Roman" w:hAnsi="Times New Roman" w:cs="Times New Roman"/>
          <w:sz w:val="36"/>
          <w:szCs w:val="36"/>
        </w:rPr>
        <w:t>Takeaway for Sommeliers: Beaujolais presents a wide spectrum of styles suitable for diverse food pairings and wine lists, from approachable Nouveau to sophisticated Crus with aging potential. Sommeliers can leverage its versatility and excellent price-to-quality ratio to enrich wine offerings.</w:t>
      </w:r>
    </w:p>
    <w:p w14:paraId="7A4F78E8" w14:textId="77777777" w:rsidR="001D3BFF" w:rsidRPr="001D3BFF" w:rsidRDefault="001D3BFF" w:rsidP="001D3BFF">
      <w:pPr>
        <w:rPr>
          <w:rFonts w:ascii="Times New Roman" w:hAnsi="Times New Roman" w:cs="Times New Roman"/>
          <w:b/>
          <w:bCs/>
          <w:sz w:val="36"/>
          <w:szCs w:val="36"/>
        </w:rPr>
      </w:pPr>
      <w:r w:rsidRPr="001D3BFF">
        <w:rPr>
          <w:rFonts w:ascii="Times New Roman" w:hAnsi="Times New Roman" w:cs="Times New Roman"/>
          <w:b/>
          <w:bCs/>
          <w:sz w:val="36"/>
          <w:szCs w:val="36"/>
        </w:rPr>
        <w:t>References:</w:t>
      </w:r>
    </w:p>
    <w:p w14:paraId="55DE5AC2" w14:textId="77777777" w:rsidR="001D3BFF" w:rsidRPr="001D3BFF" w:rsidRDefault="001D3BFF" w:rsidP="001D3BFF">
      <w:pPr>
        <w:numPr>
          <w:ilvl w:val="0"/>
          <w:numId w:val="29"/>
        </w:numPr>
        <w:rPr>
          <w:rFonts w:ascii="Times New Roman" w:hAnsi="Times New Roman" w:cs="Times New Roman"/>
          <w:sz w:val="36"/>
          <w:szCs w:val="36"/>
        </w:rPr>
      </w:pPr>
      <w:r w:rsidRPr="001D3BFF">
        <w:rPr>
          <w:rFonts w:ascii="Times New Roman" w:hAnsi="Times New Roman" w:cs="Times New Roman"/>
          <w:sz w:val="36"/>
          <w:szCs w:val="36"/>
        </w:rPr>
        <w:t xml:space="preserve">Robinson, J., &amp; Harding, J. (2020). </w:t>
      </w:r>
      <w:r w:rsidRPr="001D3BFF">
        <w:rPr>
          <w:rFonts w:ascii="Times New Roman" w:hAnsi="Times New Roman" w:cs="Times New Roman"/>
          <w:i/>
          <w:iCs/>
          <w:sz w:val="36"/>
          <w:szCs w:val="36"/>
        </w:rPr>
        <w:t>The Oxford Companion to Wine</w:t>
      </w:r>
      <w:r w:rsidRPr="001D3BFF">
        <w:rPr>
          <w:rFonts w:ascii="Times New Roman" w:hAnsi="Times New Roman" w:cs="Times New Roman"/>
          <w:sz w:val="36"/>
          <w:szCs w:val="36"/>
        </w:rPr>
        <w:t xml:space="preserve"> (5th ed.). Oxford University Press.</w:t>
      </w:r>
    </w:p>
    <w:p w14:paraId="4E4CB5B1" w14:textId="77777777" w:rsidR="001D3BFF" w:rsidRPr="001D3BFF" w:rsidRDefault="001D3BFF" w:rsidP="001D3BFF">
      <w:pPr>
        <w:numPr>
          <w:ilvl w:val="0"/>
          <w:numId w:val="29"/>
        </w:numPr>
        <w:rPr>
          <w:rFonts w:ascii="Times New Roman" w:hAnsi="Times New Roman" w:cs="Times New Roman"/>
          <w:sz w:val="36"/>
          <w:szCs w:val="36"/>
        </w:rPr>
      </w:pPr>
      <w:r w:rsidRPr="001D3BFF">
        <w:rPr>
          <w:rFonts w:ascii="Times New Roman" w:hAnsi="Times New Roman" w:cs="Times New Roman"/>
          <w:sz w:val="36"/>
          <w:szCs w:val="36"/>
        </w:rPr>
        <w:t xml:space="preserve">Wine Scholar Guild. (2022). </w:t>
      </w:r>
      <w:r w:rsidRPr="001D3BFF">
        <w:rPr>
          <w:rFonts w:ascii="Times New Roman" w:hAnsi="Times New Roman" w:cs="Times New Roman"/>
          <w:i/>
          <w:iCs/>
          <w:sz w:val="36"/>
          <w:szCs w:val="36"/>
        </w:rPr>
        <w:t>French Wine Scholar: Beaujolais.</w:t>
      </w:r>
    </w:p>
    <w:p w14:paraId="6FE332BF" w14:textId="77777777" w:rsidR="001D3BFF" w:rsidRPr="001D3BFF" w:rsidRDefault="001D3BFF" w:rsidP="001D3BFF">
      <w:pPr>
        <w:numPr>
          <w:ilvl w:val="0"/>
          <w:numId w:val="29"/>
        </w:numPr>
        <w:rPr>
          <w:rFonts w:ascii="Times New Roman" w:hAnsi="Times New Roman" w:cs="Times New Roman"/>
          <w:sz w:val="36"/>
          <w:szCs w:val="36"/>
        </w:rPr>
      </w:pPr>
      <w:r w:rsidRPr="001D3BFF">
        <w:rPr>
          <w:rFonts w:ascii="Times New Roman" w:hAnsi="Times New Roman" w:cs="Times New Roman"/>
          <w:sz w:val="36"/>
          <w:szCs w:val="36"/>
        </w:rPr>
        <w:lastRenderedPageBreak/>
        <w:t xml:space="preserve">Johnson, H., &amp; Robinson, J. (2019). </w:t>
      </w:r>
      <w:r w:rsidRPr="001D3BFF">
        <w:rPr>
          <w:rFonts w:ascii="Times New Roman" w:hAnsi="Times New Roman" w:cs="Times New Roman"/>
          <w:i/>
          <w:iCs/>
          <w:sz w:val="36"/>
          <w:szCs w:val="36"/>
        </w:rPr>
        <w:t>The World Atlas of Wine</w:t>
      </w:r>
      <w:r w:rsidRPr="001D3BFF">
        <w:rPr>
          <w:rFonts w:ascii="Times New Roman" w:hAnsi="Times New Roman" w:cs="Times New Roman"/>
          <w:sz w:val="36"/>
          <w:szCs w:val="36"/>
        </w:rPr>
        <w:t xml:space="preserve"> (8th ed.). Mitchell Beazley.</w:t>
      </w:r>
    </w:p>
    <w:p w14:paraId="7A1EB55B" w14:textId="77777777" w:rsidR="001D3BFF" w:rsidRPr="001D3BFF" w:rsidRDefault="001D3BFF" w:rsidP="001D3BFF">
      <w:pPr>
        <w:numPr>
          <w:ilvl w:val="0"/>
          <w:numId w:val="29"/>
        </w:numPr>
        <w:rPr>
          <w:rFonts w:ascii="Times New Roman" w:hAnsi="Times New Roman" w:cs="Times New Roman"/>
          <w:sz w:val="36"/>
          <w:szCs w:val="36"/>
        </w:rPr>
      </w:pPr>
      <w:r w:rsidRPr="001D3BFF">
        <w:rPr>
          <w:rFonts w:ascii="Times New Roman" w:hAnsi="Times New Roman" w:cs="Times New Roman"/>
          <w:sz w:val="36"/>
          <w:szCs w:val="36"/>
        </w:rPr>
        <w:t xml:space="preserve">Beaujolais Wines. (2023). Regional Report. Retrieved from </w:t>
      </w:r>
      <w:hyperlink r:id="rId11" w:history="1">
        <w:r w:rsidRPr="001D3BFF">
          <w:rPr>
            <w:rStyle w:val="Hyperlink"/>
            <w:rFonts w:ascii="Times New Roman" w:hAnsi="Times New Roman" w:cs="Times New Roman"/>
            <w:sz w:val="36"/>
            <w:szCs w:val="36"/>
          </w:rPr>
          <w:t>https://www.beaujolais.com</w:t>
        </w:r>
      </w:hyperlink>
    </w:p>
    <w:p w14:paraId="5821150E" w14:textId="4BDEA301" w:rsidR="0019448B" w:rsidRPr="000A1BA1" w:rsidRDefault="001D3BFF" w:rsidP="001D3BFF">
      <w:pPr>
        <w:numPr>
          <w:ilvl w:val="0"/>
          <w:numId w:val="29"/>
        </w:numPr>
        <w:rPr>
          <w:rFonts w:ascii="Times New Roman" w:hAnsi="Times New Roman" w:cs="Times New Roman"/>
          <w:sz w:val="36"/>
          <w:szCs w:val="36"/>
        </w:rPr>
      </w:pPr>
      <w:r w:rsidRPr="001D3BFF">
        <w:rPr>
          <w:rFonts w:ascii="Times New Roman" w:hAnsi="Times New Roman" w:cs="Times New Roman"/>
          <w:sz w:val="36"/>
          <w:szCs w:val="36"/>
        </w:rPr>
        <w:t xml:space="preserve">Wine Enthusiast. (2023). </w:t>
      </w:r>
      <w:r w:rsidRPr="001D3BFF">
        <w:rPr>
          <w:rFonts w:ascii="Times New Roman" w:hAnsi="Times New Roman" w:cs="Times New Roman"/>
          <w:i/>
          <w:iCs/>
          <w:sz w:val="36"/>
          <w:szCs w:val="36"/>
        </w:rPr>
        <w:t>Guide to Beaujolais Wines.</w:t>
      </w:r>
      <w:r w:rsidRPr="001D3BFF">
        <w:rPr>
          <w:rFonts w:ascii="Times New Roman" w:hAnsi="Times New Roman" w:cs="Times New Roman"/>
          <w:sz w:val="36"/>
          <w:szCs w:val="36"/>
        </w:rPr>
        <w:t xml:space="preserve"> Retrieved from </w:t>
      </w:r>
      <w:hyperlink r:id="rId12" w:history="1">
        <w:r w:rsidRPr="001D3BFF">
          <w:rPr>
            <w:rStyle w:val="Hyperlink"/>
            <w:rFonts w:ascii="Times New Roman" w:hAnsi="Times New Roman" w:cs="Times New Roman"/>
            <w:sz w:val="36"/>
            <w:szCs w:val="36"/>
          </w:rPr>
          <w:t>https://www.winemag.com</w:t>
        </w:r>
      </w:hyperlink>
    </w:p>
    <w:sectPr w:rsidR="0019448B" w:rsidRPr="000A1B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107A" w14:textId="77777777" w:rsidR="00830588" w:rsidRDefault="00830588" w:rsidP="00756514">
      <w:pPr>
        <w:spacing w:after="0" w:line="240" w:lineRule="auto"/>
      </w:pPr>
      <w:r>
        <w:separator/>
      </w:r>
    </w:p>
  </w:endnote>
  <w:endnote w:type="continuationSeparator" w:id="0">
    <w:p w14:paraId="62FEFE91" w14:textId="77777777" w:rsidR="00830588" w:rsidRDefault="00830588" w:rsidP="0075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C1BD" w14:textId="77777777" w:rsidR="00830588" w:rsidRDefault="00830588" w:rsidP="00756514">
      <w:pPr>
        <w:spacing w:after="0" w:line="240" w:lineRule="auto"/>
      </w:pPr>
      <w:r>
        <w:separator/>
      </w:r>
    </w:p>
  </w:footnote>
  <w:footnote w:type="continuationSeparator" w:id="0">
    <w:p w14:paraId="1CB49F3A" w14:textId="77777777" w:rsidR="00830588" w:rsidRDefault="00830588" w:rsidP="007565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2DB"/>
    <w:multiLevelType w:val="multilevel"/>
    <w:tmpl w:val="192E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671C0"/>
    <w:multiLevelType w:val="multilevel"/>
    <w:tmpl w:val="424A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8450B"/>
    <w:multiLevelType w:val="multilevel"/>
    <w:tmpl w:val="07F8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C7E38"/>
    <w:multiLevelType w:val="multilevel"/>
    <w:tmpl w:val="DCC2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63163"/>
    <w:multiLevelType w:val="multilevel"/>
    <w:tmpl w:val="A7EC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00B4B"/>
    <w:multiLevelType w:val="multilevel"/>
    <w:tmpl w:val="FFC2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613F9"/>
    <w:multiLevelType w:val="multilevel"/>
    <w:tmpl w:val="D7E2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F3B2B"/>
    <w:multiLevelType w:val="multilevel"/>
    <w:tmpl w:val="1ECA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262978"/>
    <w:multiLevelType w:val="multilevel"/>
    <w:tmpl w:val="3FD4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52F69"/>
    <w:multiLevelType w:val="multilevel"/>
    <w:tmpl w:val="2B3C2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AD187F"/>
    <w:multiLevelType w:val="multilevel"/>
    <w:tmpl w:val="F222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58229A"/>
    <w:multiLevelType w:val="multilevel"/>
    <w:tmpl w:val="3802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B56C5"/>
    <w:multiLevelType w:val="multilevel"/>
    <w:tmpl w:val="26EE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81FCF"/>
    <w:multiLevelType w:val="multilevel"/>
    <w:tmpl w:val="14FE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B14EA"/>
    <w:multiLevelType w:val="multilevel"/>
    <w:tmpl w:val="23E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B0A9D"/>
    <w:multiLevelType w:val="multilevel"/>
    <w:tmpl w:val="AB92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05B00"/>
    <w:multiLevelType w:val="multilevel"/>
    <w:tmpl w:val="9ADE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76234E"/>
    <w:multiLevelType w:val="multilevel"/>
    <w:tmpl w:val="64D8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87142A"/>
    <w:multiLevelType w:val="multilevel"/>
    <w:tmpl w:val="8AC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43538D"/>
    <w:multiLevelType w:val="multilevel"/>
    <w:tmpl w:val="185E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C796B"/>
    <w:multiLevelType w:val="multilevel"/>
    <w:tmpl w:val="96D4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7D1BD5"/>
    <w:multiLevelType w:val="multilevel"/>
    <w:tmpl w:val="D50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170805"/>
    <w:multiLevelType w:val="multilevel"/>
    <w:tmpl w:val="C96C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E92532"/>
    <w:multiLevelType w:val="multilevel"/>
    <w:tmpl w:val="6534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1928B5"/>
    <w:multiLevelType w:val="multilevel"/>
    <w:tmpl w:val="C84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24D30"/>
    <w:multiLevelType w:val="multilevel"/>
    <w:tmpl w:val="C404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012BB"/>
    <w:multiLevelType w:val="multilevel"/>
    <w:tmpl w:val="7868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AE57FF"/>
    <w:multiLevelType w:val="multilevel"/>
    <w:tmpl w:val="3970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AE5A72"/>
    <w:multiLevelType w:val="multilevel"/>
    <w:tmpl w:val="31BC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303066">
    <w:abstractNumId w:val="26"/>
  </w:num>
  <w:num w:numId="2" w16cid:durableId="19478572">
    <w:abstractNumId w:val="9"/>
  </w:num>
  <w:num w:numId="3" w16cid:durableId="1413769575">
    <w:abstractNumId w:val="16"/>
  </w:num>
  <w:num w:numId="4" w16cid:durableId="938374398">
    <w:abstractNumId w:val="18"/>
  </w:num>
  <w:num w:numId="5" w16cid:durableId="1455906397">
    <w:abstractNumId w:val="11"/>
  </w:num>
  <w:num w:numId="6" w16cid:durableId="1293098186">
    <w:abstractNumId w:val="1"/>
  </w:num>
  <w:num w:numId="7" w16cid:durableId="197859465">
    <w:abstractNumId w:val="14"/>
  </w:num>
  <w:num w:numId="8" w16cid:durableId="2052918969">
    <w:abstractNumId w:val="27"/>
  </w:num>
  <w:num w:numId="9" w16cid:durableId="1342664060">
    <w:abstractNumId w:val="23"/>
  </w:num>
  <w:num w:numId="10" w16cid:durableId="1847787542">
    <w:abstractNumId w:val="3"/>
  </w:num>
  <w:num w:numId="11" w16cid:durableId="1106772935">
    <w:abstractNumId w:val="24"/>
  </w:num>
  <w:num w:numId="12" w16cid:durableId="595867927">
    <w:abstractNumId w:val="12"/>
  </w:num>
  <w:num w:numId="13" w16cid:durableId="198207308">
    <w:abstractNumId w:val="25"/>
  </w:num>
  <w:num w:numId="14" w16cid:durableId="80493865">
    <w:abstractNumId w:val="13"/>
  </w:num>
  <w:num w:numId="15" w16cid:durableId="1196502732">
    <w:abstractNumId w:val="2"/>
  </w:num>
  <w:num w:numId="16" w16cid:durableId="1653286697">
    <w:abstractNumId w:val="7"/>
  </w:num>
  <w:num w:numId="17" w16cid:durableId="1516454896">
    <w:abstractNumId w:val="8"/>
  </w:num>
  <w:num w:numId="18" w16cid:durableId="184485197">
    <w:abstractNumId w:val="4"/>
  </w:num>
  <w:num w:numId="19" w16cid:durableId="232005370">
    <w:abstractNumId w:val="0"/>
  </w:num>
  <w:num w:numId="20" w16cid:durableId="1235508531">
    <w:abstractNumId w:val="28"/>
  </w:num>
  <w:num w:numId="21" w16cid:durableId="1161314153">
    <w:abstractNumId w:val="15"/>
  </w:num>
  <w:num w:numId="22" w16cid:durableId="1973556491">
    <w:abstractNumId w:val="21"/>
  </w:num>
  <w:num w:numId="23" w16cid:durableId="1945767084">
    <w:abstractNumId w:val="6"/>
  </w:num>
  <w:num w:numId="24" w16cid:durableId="1607808502">
    <w:abstractNumId w:val="17"/>
  </w:num>
  <w:num w:numId="25" w16cid:durableId="2102211726">
    <w:abstractNumId w:val="22"/>
  </w:num>
  <w:num w:numId="26" w16cid:durableId="727803145">
    <w:abstractNumId w:val="20"/>
  </w:num>
  <w:num w:numId="27" w16cid:durableId="151335679">
    <w:abstractNumId w:val="19"/>
  </w:num>
  <w:num w:numId="28" w16cid:durableId="1363090313">
    <w:abstractNumId w:val="10"/>
  </w:num>
  <w:num w:numId="29" w16cid:durableId="1002242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8B"/>
    <w:rsid w:val="00003601"/>
    <w:rsid w:val="00033EAF"/>
    <w:rsid w:val="000A1BA1"/>
    <w:rsid w:val="0019448B"/>
    <w:rsid w:val="001D3BFF"/>
    <w:rsid w:val="002806A8"/>
    <w:rsid w:val="005549B4"/>
    <w:rsid w:val="00756514"/>
    <w:rsid w:val="007C4C06"/>
    <w:rsid w:val="00830588"/>
    <w:rsid w:val="00DC09DC"/>
    <w:rsid w:val="00E60E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F57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4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44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44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44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44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4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4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4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4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4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4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4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4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44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4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48B"/>
    <w:rPr>
      <w:rFonts w:eastAsiaTheme="majorEastAsia" w:cstheme="majorBidi"/>
      <w:color w:val="272727" w:themeColor="text1" w:themeTint="D8"/>
    </w:rPr>
  </w:style>
  <w:style w:type="paragraph" w:styleId="Title">
    <w:name w:val="Title"/>
    <w:basedOn w:val="Normal"/>
    <w:next w:val="Normal"/>
    <w:link w:val="TitleChar"/>
    <w:uiPriority w:val="10"/>
    <w:qFormat/>
    <w:rsid w:val="00194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4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4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48B"/>
    <w:pPr>
      <w:spacing w:before="160"/>
      <w:jc w:val="center"/>
    </w:pPr>
    <w:rPr>
      <w:i/>
      <w:iCs/>
      <w:color w:val="404040" w:themeColor="text1" w:themeTint="BF"/>
    </w:rPr>
  </w:style>
  <w:style w:type="character" w:customStyle="1" w:styleId="QuoteChar">
    <w:name w:val="Quote Char"/>
    <w:basedOn w:val="DefaultParagraphFont"/>
    <w:link w:val="Quote"/>
    <w:uiPriority w:val="29"/>
    <w:rsid w:val="0019448B"/>
    <w:rPr>
      <w:i/>
      <w:iCs/>
      <w:color w:val="404040" w:themeColor="text1" w:themeTint="BF"/>
    </w:rPr>
  </w:style>
  <w:style w:type="paragraph" w:styleId="ListParagraph">
    <w:name w:val="List Paragraph"/>
    <w:basedOn w:val="Normal"/>
    <w:uiPriority w:val="34"/>
    <w:qFormat/>
    <w:rsid w:val="0019448B"/>
    <w:pPr>
      <w:ind w:left="720"/>
      <w:contextualSpacing/>
    </w:pPr>
  </w:style>
  <w:style w:type="character" w:styleId="IntenseEmphasis">
    <w:name w:val="Intense Emphasis"/>
    <w:basedOn w:val="DefaultParagraphFont"/>
    <w:uiPriority w:val="21"/>
    <w:qFormat/>
    <w:rsid w:val="0019448B"/>
    <w:rPr>
      <w:i/>
      <w:iCs/>
      <w:color w:val="2F5496" w:themeColor="accent1" w:themeShade="BF"/>
    </w:rPr>
  </w:style>
  <w:style w:type="paragraph" w:styleId="IntenseQuote">
    <w:name w:val="Intense Quote"/>
    <w:basedOn w:val="Normal"/>
    <w:next w:val="Normal"/>
    <w:link w:val="IntenseQuoteChar"/>
    <w:uiPriority w:val="30"/>
    <w:qFormat/>
    <w:rsid w:val="00194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448B"/>
    <w:rPr>
      <w:i/>
      <w:iCs/>
      <w:color w:val="2F5496" w:themeColor="accent1" w:themeShade="BF"/>
    </w:rPr>
  </w:style>
  <w:style w:type="character" w:styleId="IntenseReference">
    <w:name w:val="Intense Reference"/>
    <w:basedOn w:val="DefaultParagraphFont"/>
    <w:uiPriority w:val="32"/>
    <w:qFormat/>
    <w:rsid w:val="0019448B"/>
    <w:rPr>
      <w:b/>
      <w:bCs/>
      <w:smallCaps/>
      <w:color w:val="2F5496" w:themeColor="accent1" w:themeShade="BF"/>
      <w:spacing w:val="5"/>
    </w:rPr>
  </w:style>
  <w:style w:type="character" w:styleId="Hyperlink">
    <w:name w:val="Hyperlink"/>
    <w:basedOn w:val="DefaultParagraphFont"/>
    <w:uiPriority w:val="99"/>
    <w:unhideWhenUsed/>
    <w:rsid w:val="001D3BFF"/>
    <w:rPr>
      <w:color w:val="0563C1" w:themeColor="hyperlink"/>
      <w:u w:val="single"/>
    </w:rPr>
  </w:style>
  <w:style w:type="character" w:styleId="UnresolvedMention">
    <w:name w:val="Unresolved Mention"/>
    <w:basedOn w:val="DefaultParagraphFont"/>
    <w:uiPriority w:val="99"/>
    <w:semiHidden/>
    <w:unhideWhenUsed/>
    <w:rsid w:val="001D3BFF"/>
    <w:rPr>
      <w:color w:val="605E5C"/>
      <w:shd w:val="clear" w:color="auto" w:fill="E1DFDD"/>
    </w:rPr>
  </w:style>
  <w:style w:type="paragraph" w:styleId="Header">
    <w:name w:val="header"/>
    <w:basedOn w:val="Normal"/>
    <w:link w:val="HeaderChar"/>
    <w:uiPriority w:val="99"/>
    <w:unhideWhenUsed/>
    <w:rsid w:val="00756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514"/>
  </w:style>
  <w:style w:type="paragraph" w:styleId="Footer">
    <w:name w:val="footer"/>
    <w:basedOn w:val="Normal"/>
    <w:link w:val="FooterChar"/>
    <w:uiPriority w:val="99"/>
    <w:unhideWhenUsed/>
    <w:rsid w:val="00756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007236">
      <w:bodyDiv w:val="1"/>
      <w:marLeft w:val="0"/>
      <w:marRight w:val="0"/>
      <w:marTop w:val="0"/>
      <w:marBottom w:val="0"/>
      <w:divBdr>
        <w:top w:val="none" w:sz="0" w:space="0" w:color="auto"/>
        <w:left w:val="none" w:sz="0" w:space="0" w:color="auto"/>
        <w:bottom w:val="none" w:sz="0" w:space="0" w:color="auto"/>
        <w:right w:val="none" w:sz="0" w:space="0" w:color="auto"/>
      </w:divBdr>
    </w:div>
    <w:div w:id="1023822606">
      <w:bodyDiv w:val="1"/>
      <w:marLeft w:val="0"/>
      <w:marRight w:val="0"/>
      <w:marTop w:val="0"/>
      <w:marBottom w:val="0"/>
      <w:divBdr>
        <w:top w:val="none" w:sz="0" w:space="0" w:color="auto"/>
        <w:left w:val="none" w:sz="0" w:space="0" w:color="auto"/>
        <w:bottom w:val="none" w:sz="0" w:space="0" w:color="auto"/>
        <w:right w:val="none" w:sz="0" w:space="0" w:color="auto"/>
      </w:divBdr>
    </w:div>
    <w:div w:id="1284730729">
      <w:bodyDiv w:val="1"/>
      <w:marLeft w:val="0"/>
      <w:marRight w:val="0"/>
      <w:marTop w:val="0"/>
      <w:marBottom w:val="0"/>
      <w:divBdr>
        <w:top w:val="none" w:sz="0" w:space="0" w:color="auto"/>
        <w:left w:val="none" w:sz="0" w:space="0" w:color="auto"/>
        <w:bottom w:val="none" w:sz="0" w:space="0" w:color="auto"/>
        <w:right w:val="none" w:sz="0" w:space="0" w:color="auto"/>
      </w:divBdr>
      <w:divsChild>
        <w:div w:id="224683785">
          <w:marLeft w:val="0"/>
          <w:marRight w:val="0"/>
          <w:marTop w:val="0"/>
          <w:marBottom w:val="0"/>
          <w:divBdr>
            <w:top w:val="none" w:sz="0" w:space="0" w:color="auto"/>
            <w:left w:val="none" w:sz="0" w:space="0" w:color="auto"/>
            <w:bottom w:val="none" w:sz="0" w:space="0" w:color="auto"/>
            <w:right w:val="none" w:sz="0" w:space="0" w:color="auto"/>
          </w:divBdr>
        </w:div>
        <w:div w:id="1868831237">
          <w:marLeft w:val="0"/>
          <w:marRight w:val="0"/>
          <w:marTop w:val="0"/>
          <w:marBottom w:val="0"/>
          <w:divBdr>
            <w:top w:val="none" w:sz="0" w:space="0" w:color="auto"/>
            <w:left w:val="none" w:sz="0" w:space="0" w:color="auto"/>
            <w:bottom w:val="none" w:sz="0" w:space="0" w:color="auto"/>
            <w:right w:val="none" w:sz="0" w:space="0" w:color="auto"/>
          </w:divBdr>
        </w:div>
        <w:div w:id="1817869509">
          <w:marLeft w:val="0"/>
          <w:marRight w:val="0"/>
          <w:marTop w:val="0"/>
          <w:marBottom w:val="0"/>
          <w:divBdr>
            <w:top w:val="none" w:sz="0" w:space="0" w:color="auto"/>
            <w:left w:val="none" w:sz="0" w:space="0" w:color="auto"/>
            <w:bottom w:val="none" w:sz="0" w:space="0" w:color="auto"/>
            <w:right w:val="none" w:sz="0" w:space="0" w:color="auto"/>
          </w:divBdr>
        </w:div>
        <w:div w:id="324363481">
          <w:marLeft w:val="0"/>
          <w:marRight w:val="0"/>
          <w:marTop w:val="0"/>
          <w:marBottom w:val="0"/>
          <w:divBdr>
            <w:top w:val="none" w:sz="0" w:space="0" w:color="auto"/>
            <w:left w:val="none" w:sz="0" w:space="0" w:color="auto"/>
            <w:bottom w:val="none" w:sz="0" w:space="0" w:color="auto"/>
            <w:right w:val="none" w:sz="0" w:space="0" w:color="auto"/>
          </w:divBdr>
        </w:div>
        <w:div w:id="7105059">
          <w:marLeft w:val="0"/>
          <w:marRight w:val="0"/>
          <w:marTop w:val="0"/>
          <w:marBottom w:val="0"/>
          <w:divBdr>
            <w:top w:val="none" w:sz="0" w:space="0" w:color="auto"/>
            <w:left w:val="none" w:sz="0" w:space="0" w:color="auto"/>
            <w:bottom w:val="none" w:sz="0" w:space="0" w:color="auto"/>
            <w:right w:val="none" w:sz="0" w:space="0" w:color="auto"/>
          </w:divBdr>
        </w:div>
        <w:div w:id="1912153950">
          <w:marLeft w:val="0"/>
          <w:marRight w:val="0"/>
          <w:marTop w:val="0"/>
          <w:marBottom w:val="0"/>
          <w:divBdr>
            <w:top w:val="none" w:sz="0" w:space="0" w:color="auto"/>
            <w:left w:val="none" w:sz="0" w:space="0" w:color="auto"/>
            <w:bottom w:val="none" w:sz="0" w:space="0" w:color="auto"/>
            <w:right w:val="none" w:sz="0" w:space="0" w:color="auto"/>
          </w:divBdr>
        </w:div>
      </w:divsChild>
    </w:div>
    <w:div w:id="1380398443">
      <w:bodyDiv w:val="1"/>
      <w:marLeft w:val="0"/>
      <w:marRight w:val="0"/>
      <w:marTop w:val="0"/>
      <w:marBottom w:val="0"/>
      <w:divBdr>
        <w:top w:val="none" w:sz="0" w:space="0" w:color="auto"/>
        <w:left w:val="none" w:sz="0" w:space="0" w:color="auto"/>
        <w:bottom w:val="none" w:sz="0" w:space="0" w:color="auto"/>
        <w:right w:val="none" w:sz="0" w:space="0" w:color="auto"/>
      </w:divBdr>
      <w:divsChild>
        <w:div w:id="116728359">
          <w:marLeft w:val="0"/>
          <w:marRight w:val="0"/>
          <w:marTop w:val="0"/>
          <w:marBottom w:val="0"/>
          <w:divBdr>
            <w:top w:val="none" w:sz="0" w:space="0" w:color="auto"/>
            <w:left w:val="none" w:sz="0" w:space="0" w:color="auto"/>
            <w:bottom w:val="none" w:sz="0" w:space="0" w:color="auto"/>
            <w:right w:val="none" w:sz="0" w:space="0" w:color="auto"/>
          </w:divBdr>
        </w:div>
        <w:div w:id="1134061465">
          <w:marLeft w:val="0"/>
          <w:marRight w:val="0"/>
          <w:marTop w:val="0"/>
          <w:marBottom w:val="0"/>
          <w:divBdr>
            <w:top w:val="none" w:sz="0" w:space="0" w:color="auto"/>
            <w:left w:val="none" w:sz="0" w:space="0" w:color="auto"/>
            <w:bottom w:val="none" w:sz="0" w:space="0" w:color="auto"/>
            <w:right w:val="none" w:sz="0" w:space="0" w:color="auto"/>
          </w:divBdr>
        </w:div>
        <w:div w:id="1727484519">
          <w:marLeft w:val="0"/>
          <w:marRight w:val="0"/>
          <w:marTop w:val="0"/>
          <w:marBottom w:val="0"/>
          <w:divBdr>
            <w:top w:val="none" w:sz="0" w:space="0" w:color="auto"/>
            <w:left w:val="none" w:sz="0" w:space="0" w:color="auto"/>
            <w:bottom w:val="none" w:sz="0" w:space="0" w:color="auto"/>
            <w:right w:val="none" w:sz="0" w:space="0" w:color="auto"/>
          </w:divBdr>
        </w:div>
        <w:div w:id="1723821404">
          <w:marLeft w:val="0"/>
          <w:marRight w:val="0"/>
          <w:marTop w:val="0"/>
          <w:marBottom w:val="0"/>
          <w:divBdr>
            <w:top w:val="none" w:sz="0" w:space="0" w:color="auto"/>
            <w:left w:val="none" w:sz="0" w:space="0" w:color="auto"/>
            <w:bottom w:val="none" w:sz="0" w:space="0" w:color="auto"/>
            <w:right w:val="none" w:sz="0" w:space="0" w:color="auto"/>
          </w:divBdr>
        </w:div>
        <w:div w:id="1977879762">
          <w:marLeft w:val="0"/>
          <w:marRight w:val="0"/>
          <w:marTop w:val="0"/>
          <w:marBottom w:val="0"/>
          <w:divBdr>
            <w:top w:val="none" w:sz="0" w:space="0" w:color="auto"/>
            <w:left w:val="none" w:sz="0" w:space="0" w:color="auto"/>
            <w:bottom w:val="none" w:sz="0" w:space="0" w:color="auto"/>
            <w:right w:val="none" w:sz="0" w:space="0" w:color="auto"/>
          </w:divBdr>
        </w:div>
        <w:div w:id="228617666">
          <w:marLeft w:val="0"/>
          <w:marRight w:val="0"/>
          <w:marTop w:val="0"/>
          <w:marBottom w:val="0"/>
          <w:divBdr>
            <w:top w:val="none" w:sz="0" w:space="0" w:color="auto"/>
            <w:left w:val="none" w:sz="0" w:space="0" w:color="auto"/>
            <w:bottom w:val="none" w:sz="0" w:space="0" w:color="auto"/>
            <w:right w:val="none" w:sz="0" w:space="0" w:color="auto"/>
          </w:divBdr>
        </w:div>
      </w:divsChild>
    </w:div>
    <w:div w:id="1480145087">
      <w:bodyDiv w:val="1"/>
      <w:marLeft w:val="0"/>
      <w:marRight w:val="0"/>
      <w:marTop w:val="0"/>
      <w:marBottom w:val="0"/>
      <w:divBdr>
        <w:top w:val="none" w:sz="0" w:space="0" w:color="auto"/>
        <w:left w:val="none" w:sz="0" w:space="0" w:color="auto"/>
        <w:bottom w:val="none" w:sz="0" w:space="0" w:color="auto"/>
        <w:right w:val="none" w:sz="0" w:space="0" w:color="auto"/>
      </w:divBdr>
    </w:div>
    <w:div w:id="202528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inema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aujolais.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2025-05-13T21:47:00Z</dcterms:created>
  <dcterms:modified xsi:type="dcterms:W3CDTF">2025-05-13T21:47:00Z</dcterms:modified>
</cp:coreProperties>
</file>