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681B79" w14:textId="17C9AC5B" w:rsidR="00435E1D" w:rsidRPr="00032E42" w:rsidRDefault="00435E1D" w:rsidP="00435E1D">
      <w:pPr>
        <w:rPr>
          <w:rFonts w:ascii="Times New Roman" w:hAnsi="Times New Roman" w:cs="Times New Roman"/>
          <w:b/>
          <w:bCs/>
          <w:sz w:val="36"/>
          <w:szCs w:val="36"/>
        </w:rPr>
      </w:pPr>
      <w:r w:rsidRPr="00032E42">
        <w:rPr>
          <w:rFonts w:ascii="Times New Roman" w:hAnsi="Times New Roman" w:cs="Times New Roman"/>
          <w:b/>
          <w:bCs/>
          <w:sz w:val="36"/>
          <w:szCs w:val="36"/>
        </w:rPr>
        <w:t>Alsace: The Jewel of Old-World Wine</w:t>
      </w:r>
    </w:p>
    <w:p w14:paraId="72F2D8A8" w14:textId="37AC56EE" w:rsidR="00435E1D" w:rsidRPr="00032E42" w:rsidRDefault="00435E1D" w:rsidP="00435E1D">
      <w:pPr>
        <w:rPr>
          <w:rFonts w:ascii="Times New Roman" w:hAnsi="Times New Roman" w:cs="Times New Roman"/>
          <w:b/>
          <w:bCs/>
          <w:sz w:val="36"/>
          <w:szCs w:val="36"/>
        </w:rPr>
      </w:pPr>
      <w:r w:rsidRPr="00032E42">
        <w:rPr>
          <w:rFonts w:ascii="Times New Roman" w:hAnsi="Times New Roman" w:cs="Times New Roman"/>
          <w:b/>
          <w:bCs/>
          <w:sz w:val="36"/>
          <w:szCs w:val="36"/>
        </w:rPr>
        <w:t>Region Overview</w:t>
      </w:r>
      <w:r w:rsidR="00F824A0" w:rsidRPr="00F824A0">
        <w:rPr>
          <w:rFonts w:ascii="Times New Roman" w:hAnsi="Times New Roman" w:cs="Times New Roman"/>
          <w:sz w:val="36"/>
          <w:szCs w:val="36"/>
        </w:rPr>
        <w:t xml:space="preserve"> </w:t>
      </w:r>
    </w:p>
    <w:p w14:paraId="640C6228" w14:textId="77777777" w:rsidR="00F824A0" w:rsidRDefault="00F824A0" w:rsidP="00435E1D">
      <w:pPr>
        <w:rPr>
          <w:rFonts w:ascii="Times New Roman" w:hAnsi="Times New Roman" w:cs="Times New Roman"/>
          <w:sz w:val="36"/>
          <w:szCs w:val="36"/>
        </w:rPr>
      </w:pPr>
      <w:r w:rsidRPr="00F824A0">
        <w:rPr>
          <w:rFonts w:ascii="Times New Roman" w:hAnsi="Times New Roman" w:cs="Times New Roman"/>
          <w:sz w:val="36"/>
          <w:szCs w:val="36"/>
        </w:rPr>
        <w:t xml:space="preserve"> </w:t>
      </w:r>
      <w:r w:rsidR="00435E1D" w:rsidRPr="00435E1D">
        <w:rPr>
          <w:rFonts w:ascii="Times New Roman" w:hAnsi="Times New Roman" w:cs="Times New Roman"/>
          <w:sz w:val="36"/>
          <w:szCs w:val="36"/>
        </w:rPr>
        <w:t>The story of Old</w:t>
      </w:r>
      <w:r w:rsidR="00435E1D">
        <w:rPr>
          <w:rFonts w:ascii="Times New Roman" w:hAnsi="Times New Roman" w:cs="Times New Roman"/>
          <w:sz w:val="36"/>
          <w:szCs w:val="36"/>
        </w:rPr>
        <w:t>-</w:t>
      </w:r>
      <w:r w:rsidR="00435E1D" w:rsidRPr="00435E1D">
        <w:rPr>
          <w:rFonts w:ascii="Times New Roman" w:hAnsi="Times New Roman" w:cs="Times New Roman"/>
          <w:sz w:val="36"/>
          <w:szCs w:val="36"/>
        </w:rPr>
        <w:t xml:space="preserve">World wine begins thousands of years ago, where ancient civilizations cultivated vines along the fertile banks of the Mediterranean. From the amphorae of the Romans to the meticulously classified vineyards of France, this part of the world has shaped global winemaking traditions. </w:t>
      </w:r>
    </w:p>
    <w:p w14:paraId="696E8DDB" w14:textId="3040E22A" w:rsidR="00435E1D" w:rsidRPr="00435E1D" w:rsidRDefault="00435E1D" w:rsidP="00435E1D">
      <w:pPr>
        <w:rPr>
          <w:rFonts w:ascii="Times New Roman" w:hAnsi="Times New Roman" w:cs="Times New Roman"/>
          <w:sz w:val="36"/>
          <w:szCs w:val="36"/>
        </w:rPr>
      </w:pPr>
      <w:r w:rsidRPr="00435E1D">
        <w:rPr>
          <w:rFonts w:ascii="Times New Roman" w:hAnsi="Times New Roman" w:cs="Times New Roman"/>
          <w:sz w:val="36"/>
          <w:szCs w:val="36"/>
        </w:rPr>
        <w:t xml:space="preserve">The </w:t>
      </w:r>
      <w:r>
        <w:rPr>
          <w:rFonts w:ascii="Times New Roman" w:hAnsi="Times New Roman" w:cs="Times New Roman"/>
          <w:sz w:val="36"/>
          <w:szCs w:val="36"/>
        </w:rPr>
        <w:t xml:space="preserve">Old-World </w:t>
      </w:r>
      <w:r w:rsidRPr="00435E1D">
        <w:rPr>
          <w:rFonts w:ascii="Times New Roman" w:hAnsi="Times New Roman" w:cs="Times New Roman"/>
          <w:sz w:val="36"/>
          <w:szCs w:val="36"/>
        </w:rPr>
        <w:t xml:space="preserve">encompasses wine-producing regions in Europe, North Africa, and parts of the Confederation of Independent States. Historically, these regions developed viticulture through centuries of tradition, emphasizing terroir and time-honored winemaking techniques. While China’s classification remains debated, its winemaking approach leans more toward the New </w:t>
      </w:r>
      <w:r w:rsidRPr="00435E1D">
        <w:rPr>
          <w:rFonts w:ascii="Times New Roman" w:hAnsi="Times New Roman" w:cs="Times New Roman"/>
          <w:sz w:val="36"/>
          <w:szCs w:val="36"/>
        </w:rPr>
        <w:lastRenderedPageBreak/>
        <w:t>World style (Jancis Robinson, 2022).</w:t>
      </w:r>
      <w:r w:rsidR="009657FB" w:rsidRPr="009657FB">
        <w:t xml:space="preserve"> </w:t>
      </w:r>
      <w:r w:rsidR="009657FB">
        <w:rPr>
          <w:noProof/>
        </w:rPr>
        <w:drawing>
          <wp:inline distT="0" distB="0" distL="0" distR="0" wp14:anchorId="6D8BB918" wp14:editId="5C8F279A">
            <wp:extent cx="5943600" cy="3962400"/>
            <wp:effectExtent l="0" t="0" r="0" b="0"/>
            <wp:docPr id="1147499992" name="Picture 3" descr="Here's What DOC, DOCG &amp; AOC Mean In Italian And French Wine Lab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ere's What DOC, DOCG &amp; AOC Mean In Italian And French Wine Label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p>
    <w:p w14:paraId="5144E8E5" w14:textId="4FCD9533" w:rsidR="00435E1D" w:rsidRPr="00435E1D" w:rsidRDefault="00435E1D" w:rsidP="00435E1D">
      <w:pPr>
        <w:rPr>
          <w:rFonts w:ascii="Times New Roman" w:hAnsi="Times New Roman" w:cs="Times New Roman"/>
          <w:sz w:val="36"/>
          <w:szCs w:val="36"/>
        </w:rPr>
      </w:pPr>
      <w:r w:rsidRPr="00435E1D">
        <w:rPr>
          <w:rFonts w:ascii="Times New Roman" w:hAnsi="Times New Roman" w:cs="Times New Roman"/>
          <w:sz w:val="36"/>
          <w:szCs w:val="36"/>
        </w:rPr>
        <w:t xml:space="preserve">The </w:t>
      </w:r>
      <w:r>
        <w:rPr>
          <w:rFonts w:ascii="Times New Roman" w:hAnsi="Times New Roman" w:cs="Times New Roman"/>
          <w:sz w:val="36"/>
          <w:szCs w:val="36"/>
        </w:rPr>
        <w:t xml:space="preserve">Old-World </w:t>
      </w:r>
      <w:r w:rsidRPr="00435E1D">
        <w:rPr>
          <w:rFonts w:ascii="Times New Roman" w:hAnsi="Times New Roman" w:cs="Times New Roman"/>
          <w:sz w:val="36"/>
          <w:szCs w:val="36"/>
        </w:rPr>
        <w:t>encompasses wine-producing regions in Europe, North Africa, and parts of the Confederation of Independent States. Historically, these regions developed viticulture through centuries of tradition, emphasizing terroir and time-honored winemaking techniques. While China’s classification remains debated, its winemaking approach leans more toward the New World style (Jancis Robinson, 2022).</w:t>
      </w:r>
    </w:p>
    <w:p w14:paraId="5BA766F7" w14:textId="68712A28" w:rsidR="00435E1D" w:rsidRPr="00435E1D" w:rsidRDefault="00435E1D" w:rsidP="00435E1D">
      <w:pPr>
        <w:rPr>
          <w:rFonts w:ascii="Times New Roman" w:hAnsi="Times New Roman" w:cs="Times New Roman"/>
          <w:sz w:val="36"/>
          <w:szCs w:val="36"/>
        </w:rPr>
      </w:pPr>
      <w:r w:rsidRPr="00435E1D">
        <w:rPr>
          <w:rFonts w:ascii="Times New Roman" w:hAnsi="Times New Roman" w:cs="Times New Roman"/>
          <w:sz w:val="36"/>
          <w:szCs w:val="36"/>
        </w:rPr>
        <w:t xml:space="preserve">Traditionally, </w:t>
      </w:r>
      <w:r>
        <w:rPr>
          <w:rFonts w:ascii="Times New Roman" w:hAnsi="Times New Roman" w:cs="Times New Roman"/>
          <w:sz w:val="36"/>
          <w:szCs w:val="36"/>
        </w:rPr>
        <w:t xml:space="preserve">Old-World </w:t>
      </w:r>
      <w:r w:rsidRPr="00435E1D">
        <w:rPr>
          <w:rFonts w:ascii="Times New Roman" w:hAnsi="Times New Roman" w:cs="Times New Roman"/>
          <w:sz w:val="36"/>
          <w:szCs w:val="36"/>
        </w:rPr>
        <w:t xml:space="preserve">wines have been known for their subtlety, complexity, and aging potential, in contrast to the fruit-forward, high-alcohol, and oak-influenced styles often found in New World wines. However, modern technological advances have blurred these distinctions, with New World producers </w:t>
      </w:r>
      <w:r w:rsidRPr="00435E1D">
        <w:rPr>
          <w:rFonts w:ascii="Times New Roman" w:hAnsi="Times New Roman" w:cs="Times New Roman"/>
          <w:sz w:val="36"/>
          <w:szCs w:val="36"/>
        </w:rPr>
        <w:lastRenderedPageBreak/>
        <w:t xml:space="preserve">adopting </w:t>
      </w:r>
      <w:r>
        <w:rPr>
          <w:rFonts w:ascii="Times New Roman" w:hAnsi="Times New Roman" w:cs="Times New Roman"/>
          <w:sz w:val="36"/>
          <w:szCs w:val="36"/>
        </w:rPr>
        <w:t xml:space="preserve">Old-World </w:t>
      </w:r>
      <w:r w:rsidRPr="00435E1D">
        <w:rPr>
          <w:rFonts w:ascii="Times New Roman" w:hAnsi="Times New Roman" w:cs="Times New Roman"/>
          <w:sz w:val="36"/>
          <w:szCs w:val="36"/>
        </w:rPr>
        <w:t xml:space="preserve">techniques and vice versa (Wine Spectator, 2024). Countries like South Africa and New Zealand produce wines that reflect </w:t>
      </w:r>
      <w:r>
        <w:rPr>
          <w:rFonts w:ascii="Times New Roman" w:hAnsi="Times New Roman" w:cs="Times New Roman"/>
          <w:sz w:val="36"/>
          <w:szCs w:val="36"/>
        </w:rPr>
        <w:t xml:space="preserve">Old-World </w:t>
      </w:r>
      <w:r w:rsidRPr="00435E1D">
        <w:rPr>
          <w:rFonts w:ascii="Times New Roman" w:hAnsi="Times New Roman" w:cs="Times New Roman"/>
          <w:sz w:val="36"/>
          <w:szCs w:val="36"/>
        </w:rPr>
        <w:t>characteristics, showcasing terroir-driven elegance alongside contemporary innovation.</w:t>
      </w:r>
    </w:p>
    <w:p w14:paraId="40260066" w14:textId="77777777" w:rsidR="00435E1D" w:rsidRPr="00032E42" w:rsidRDefault="00435E1D" w:rsidP="00435E1D">
      <w:pPr>
        <w:rPr>
          <w:rFonts w:ascii="Times New Roman" w:hAnsi="Times New Roman" w:cs="Times New Roman"/>
          <w:b/>
          <w:bCs/>
          <w:sz w:val="36"/>
          <w:szCs w:val="36"/>
        </w:rPr>
      </w:pPr>
      <w:r w:rsidRPr="00032E42">
        <w:rPr>
          <w:rFonts w:ascii="Times New Roman" w:hAnsi="Times New Roman" w:cs="Times New Roman"/>
          <w:b/>
          <w:bCs/>
          <w:sz w:val="36"/>
          <w:szCs w:val="36"/>
        </w:rPr>
        <w:t>France: The Standard Bearer of Old-World Wines</w:t>
      </w:r>
    </w:p>
    <w:p w14:paraId="572691B2" w14:textId="77777777" w:rsidR="00F824A0" w:rsidRDefault="00435E1D" w:rsidP="00435E1D">
      <w:pPr>
        <w:rPr>
          <w:rFonts w:ascii="Times New Roman" w:hAnsi="Times New Roman" w:cs="Times New Roman"/>
          <w:sz w:val="36"/>
          <w:szCs w:val="36"/>
        </w:rPr>
      </w:pPr>
      <w:r w:rsidRPr="00435E1D">
        <w:rPr>
          <w:rFonts w:ascii="Times New Roman" w:hAnsi="Times New Roman" w:cs="Times New Roman"/>
          <w:sz w:val="36"/>
          <w:szCs w:val="36"/>
        </w:rPr>
        <w:t xml:space="preserve">France remains a global leader in viticultural diversity, historical significance, and wine production volume. Alongside Italy and Spain, France consistently ranks among the top three wine-producing countries in the world, each with distinct styles and traditions. </w:t>
      </w:r>
    </w:p>
    <w:p w14:paraId="0CEA2DC3" w14:textId="19D9E4AD" w:rsidR="00435E1D" w:rsidRPr="00435E1D" w:rsidRDefault="00435E1D" w:rsidP="00435E1D">
      <w:pPr>
        <w:rPr>
          <w:rFonts w:ascii="Times New Roman" w:hAnsi="Times New Roman" w:cs="Times New Roman"/>
          <w:sz w:val="36"/>
          <w:szCs w:val="36"/>
        </w:rPr>
      </w:pPr>
      <w:r w:rsidRPr="00435E1D">
        <w:rPr>
          <w:rFonts w:ascii="Times New Roman" w:hAnsi="Times New Roman" w:cs="Times New Roman"/>
          <w:sz w:val="36"/>
          <w:szCs w:val="36"/>
        </w:rPr>
        <w:t xml:space="preserve">While France is known for its terroir-driven classification system, Italy emphasizes regional diversity with DOC and DOCG regulations, and Spain showcases bold expressions through its aging-focused designations like Rioja and Ribera del Duero. In 2023, the country produced over 45 million hectoliters of wine, with a significant portion classified under the Appellation </w:t>
      </w:r>
      <w:proofErr w:type="spellStart"/>
      <w:r w:rsidRPr="00435E1D">
        <w:rPr>
          <w:rFonts w:ascii="Times New Roman" w:hAnsi="Times New Roman" w:cs="Times New Roman"/>
          <w:sz w:val="36"/>
          <w:szCs w:val="36"/>
        </w:rPr>
        <w:t>d’Origine</w:t>
      </w:r>
      <w:proofErr w:type="spellEnd"/>
      <w:r w:rsidRPr="00435E1D">
        <w:rPr>
          <w:rFonts w:ascii="Times New Roman" w:hAnsi="Times New Roman" w:cs="Times New Roman"/>
          <w:sz w:val="36"/>
          <w:szCs w:val="36"/>
        </w:rPr>
        <w:t xml:space="preserve"> Contrôlée (AOC) system (INAO, 2024).</w:t>
      </w:r>
    </w:p>
    <w:p w14:paraId="0EEA4A1D" w14:textId="77777777" w:rsidR="00435E1D" w:rsidRPr="00032E42" w:rsidRDefault="00435E1D" w:rsidP="00435E1D">
      <w:pPr>
        <w:rPr>
          <w:rFonts w:ascii="Times New Roman" w:hAnsi="Times New Roman" w:cs="Times New Roman"/>
          <w:b/>
          <w:bCs/>
          <w:sz w:val="36"/>
          <w:szCs w:val="36"/>
        </w:rPr>
      </w:pPr>
      <w:r w:rsidRPr="00032E42">
        <w:rPr>
          <w:rFonts w:ascii="Times New Roman" w:hAnsi="Times New Roman" w:cs="Times New Roman"/>
          <w:b/>
          <w:bCs/>
          <w:sz w:val="36"/>
          <w:szCs w:val="36"/>
        </w:rPr>
        <w:t>Key Wine Regions in France</w:t>
      </w:r>
    </w:p>
    <w:p w14:paraId="4D29FDD2" w14:textId="77777777" w:rsidR="00435E1D" w:rsidRPr="00435E1D" w:rsidRDefault="00435E1D" w:rsidP="00435E1D">
      <w:pPr>
        <w:numPr>
          <w:ilvl w:val="0"/>
          <w:numId w:val="17"/>
        </w:numPr>
        <w:rPr>
          <w:rFonts w:ascii="Times New Roman" w:hAnsi="Times New Roman" w:cs="Times New Roman"/>
          <w:sz w:val="36"/>
          <w:szCs w:val="36"/>
        </w:rPr>
      </w:pPr>
      <w:r w:rsidRPr="00435E1D">
        <w:rPr>
          <w:rFonts w:ascii="Times New Roman" w:hAnsi="Times New Roman" w:cs="Times New Roman"/>
          <w:sz w:val="36"/>
          <w:szCs w:val="36"/>
        </w:rPr>
        <w:t>Major Regions: Alsace, Bordeaux, Burgundy, Champagne, Loire, Rhône.</w:t>
      </w:r>
    </w:p>
    <w:p w14:paraId="5EFB3F79" w14:textId="77777777" w:rsidR="00435E1D" w:rsidRPr="00435E1D" w:rsidRDefault="00435E1D" w:rsidP="00435E1D">
      <w:pPr>
        <w:numPr>
          <w:ilvl w:val="0"/>
          <w:numId w:val="17"/>
        </w:numPr>
        <w:rPr>
          <w:rFonts w:ascii="Times New Roman" w:hAnsi="Times New Roman" w:cs="Times New Roman"/>
          <w:sz w:val="36"/>
          <w:szCs w:val="36"/>
        </w:rPr>
      </w:pPr>
      <w:r w:rsidRPr="00435E1D">
        <w:rPr>
          <w:rFonts w:ascii="Times New Roman" w:hAnsi="Times New Roman" w:cs="Times New Roman"/>
          <w:sz w:val="36"/>
          <w:szCs w:val="36"/>
        </w:rPr>
        <w:t xml:space="preserve">Lesser-Known Regions: Bergerac, Cahors, </w:t>
      </w:r>
      <w:proofErr w:type="spellStart"/>
      <w:r w:rsidRPr="00435E1D">
        <w:rPr>
          <w:rFonts w:ascii="Times New Roman" w:hAnsi="Times New Roman" w:cs="Times New Roman"/>
          <w:sz w:val="36"/>
          <w:szCs w:val="36"/>
        </w:rPr>
        <w:t>Côtes</w:t>
      </w:r>
      <w:proofErr w:type="spellEnd"/>
      <w:r w:rsidRPr="00435E1D">
        <w:rPr>
          <w:rFonts w:ascii="Times New Roman" w:hAnsi="Times New Roman" w:cs="Times New Roman"/>
          <w:sz w:val="36"/>
          <w:szCs w:val="36"/>
        </w:rPr>
        <w:t xml:space="preserve"> de Duras, </w:t>
      </w:r>
      <w:proofErr w:type="spellStart"/>
      <w:r w:rsidRPr="00435E1D">
        <w:rPr>
          <w:rFonts w:ascii="Times New Roman" w:hAnsi="Times New Roman" w:cs="Times New Roman"/>
          <w:sz w:val="36"/>
          <w:szCs w:val="36"/>
        </w:rPr>
        <w:t>Gaillac</w:t>
      </w:r>
      <w:proofErr w:type="spellEnd"/>
      <w:r w:rsidRPr="00435E1D">
        <w:rPr>
          <w:rFonts w:ascii="Times New Roman" w:hAnsi="Times New Roman" w:cs="Times New Roman"/>
          <w:sz w:val="36"/>
          <w:szCs w:val="36"/>
        </w:rPr>
        <w:t xml:space="preserve">, Jura, </w:t>
      </w:r>
      <w:proofErr w:type="spellStart"/>
      <w:r w:rsidRPr="00435E1D">
        <w:rPr>
          <w:rFonts w:ascii="Times New Roman" w:hAnsi="Times New Roman" w:cs="Times New Roman"/>
          <w:sz w:val="36"/>
          <w:szCs w:val="36"/>
        </w:rPr>
        <w:t>Jurançon</w:t>
      </w:r>
      <w:proofErr w:type="spellEnd"/>
      <w:r w:rsidRPr="00435E1D">
        <w:rPr>
          <w:rFonts w:ascii="Times New Roman" w:hAnsi="Times New Roman" w:cs="Times New Roman"/>
          <w:sz w:val="36"/>
          <w:szCs w:val="36"/>
        </w:rPr>
        <w:t xml:space="preserve">, Limoux, Languedoc-Roussillon, </w:t>
      </w:r>
      <w:proofErr w:type="spellStart"/>
      <w:r w:rsidRPr="00435E1D">
        <w:rPr>
          <w:rFonts w:ascii="Times New Roman" w:hAnsi="Times New Roman" w:cs="Times New Roman"/>
          <w:sz w:val="36"/>
          <w:szCs w:val="36"/>
        </w:rPr>
        <w:t>Madiran</w:t>
      </w:r>
      <w:proofErr w:type="spellEnd"/>
      <w:r w:rsidRPr="00435E1D">
        <w:rPr>
          <w:rFonts w:ascii="Times New Roman" w:hAnsi="Times New Roman" w:cs="Times New Roman"/>
          <w:sz w:val="36"/>
          <w:szCs w:val="36"/>
        </w:rPr>
        <w:t>.</w:t>
      </w:r>
    </w:p>
    <w:p w14:paraId="67BEEB28" w14:textId="75D3869F" w:rsidR="00435E1D" w:rsidRPr="00032E42" w:rsidRDefault="00435E1D" w:rsidP="00435E1D">
      <w:pPr>
        <w:rPr>
          <w:rFonts w:ascii="Times New Roman" w:hAnsi="Times New Roman" w:cs="Times New Roman"/>
          <w:b/>
          <w:bCs/>
          <w:sz w:val="36"/>
          <w:szCs w:val="36"/>
        </w:rPr>
      </w:pPr>
      <w:r w:rsidRPr="00032E42">
        <w:rPr>
          <w:rFonts w:ascii="Times New Roman" w:hAnsi="Times New Roman" w:cs="Times New Roman"/>
          <w:b/>
          <w:bCs/>
          <w:sz w:val="36"/>
          <w:szCs w:val="36"/>
        </w:rPr>
        <w:lastRenderedPageBreak/>
        <w:t>Alsace: The Jewel of Eastern France</w:t>
      </w:r>
      <w:r w:rsidR="00F824A0" w:rsidRPr="00F824A0">
        <w:rPr>
          <w:rFonts w:ascii="Times New Roman" w:hAnsi="Times New Roman" w:cs="Times New Roman"/>
          <w:sz w:val="36"/>
          <w:szCs w:val="36"/>
        </w:rPr>
        <w:t xml:space="preserve"> </w:t>
      </w:r>
      <w:r w:rsidR="00F824A0" w:rsidRPr="00F824A0">
        <w:rPr>
          <w:rFonts w:ascii="Times New Roman" w:hAnsi="Times New Roman" w:cs="Times New Roman"/>
          <w:noProof/>
          <w:sz w:val="36"/>
          <w:szCs w:val="36"/>
        </w:rPr>
        <w:drawing>
          <wp:anchor distT="0" distB="0" distL="114300" distR="114300" simplePos="0" relativeHeight="251659264" behindDoc="0" locked="0" layoutInCell="1" allowOverlap="1" wp14:anchorId="4C6B46A4" wp14:editId="4A81EFA6">
            <wp:simplePos x="0" y="0"/>
            <wp:positionH relativeFrom="margin">
              <wp:posOffset>0</wp:posOffset>
            </wp:positionH>
            <wp:positionV relativeFrom="paragraph">
              <wp:posOffset>410845</wp:posOffset>
            </wp:positionV>
            <wp:extent cx="3192145" cy="4248150"/>
            <wp:effectExtent l="0" t="0" r="8255" b="0"/>
            <wp:wrapSquare wrapText="bothSides"/>
            <wp:docPr id="40333833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894" t="1874" r="2462" b="8166"/>
                    <a:stretch/>
                  </pic:blipFill>
                  <pic:spPr bwMode="auto">
                    <a:xfrm>
                      <a:off x="0" y="0"/>
                      <a:ext cx="3192145" cy="42481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2505472" w14:textId="77777777" w:rsidR="00435E1D" w:rsidRPr="00032E42" w:rsidRDefault="00435E1D" w:rsidP="00435E1D">
      <w:pPr>
        <w:rPr>
          <w:rFonts w:ascii="Times New Roman" w:hAnsi="Times New Roman" w:cs="Times New Roman"/>
          <w:b/>
          <w:bCs/>
          <w:sz w:val="36"/>
          <w:szCs w:val="36"/>
        </w:rPr>
      </w:pPr>
      <w:r w:rsidRPr="00032E42">
        <w:rPr>
          <w:rFonts w:ascii="Times New Roman" w:hAnsi="Times New Roman" w:cs="Times New Roman"/>
          <w:b/>
          <w:bCs/>
          <w:sz w:val="36"/>
          <w:szCs w:val="36"/>
        </w:rPr>
        <w:t>Geographic &amp; Climatic Profile</w:t>
      </w:r>
    </w:p>
    <w:p w14:paraId="7EC45700" w14:textId="77777777" w:rsidR="00435E1D" w:rsidRPr="00435E1D" w:rsidRDefault="00435E1D" w:rsidP="00435E1D">
      <w:pPr>
        <w:rPr>
          <w:rFonts w:ascii="Times New Roman" w:hAnsi="Times New Roman" w:cs="Times New Roman"/>
          <w:sz w:val="36"/>
          <w:szCs w:val="36"/>
        </w:rPr>
      </w:pPr>
      <w:r w:rsidRPr="00435E1D">
        <w:rPr>
          <w:rFonts w:ascii="Times New Roman" w:hAnsi="Times New Roman" w:cs="Times New Roman"/>
          <w:sz w:val="36"/>
          <w:szCs w:val="36"/>
        </w:rPr>
        <w:t>Alsace stretches for 75 miles from Strasbourg to Mulhouse, nestled along the eastern slopes of the Vosges Mountains near the German border. The varying elevations and orientations of vineyards create distinct microclimates, allowing winemakers to produce a diverse range of styles from crisp, high-acid Rieslings to rich, aromatic Gewürztraminers. nestled along the eastern slopes of the Vosges Mountains near the German border. The region benefits from a rain shadow effect, resulting in a dry continental climate ideal for grape growing. This microclimate contributes to the production of highly expressive wines, particularly in the Haut-Rhin, where the best vineyards are located (Decanter, 2023).</w:t>
      </w:r>
    </w:p>
    <w:p w14:paraId="4D4AA70A" w14:textId="77777777" w:rsidR="00435E1D" w:rsidRPr="00032E42" w:rsidRDefault="00435E1D" w:rsidP="00435E1D">
      <w:pPr>
        <w:rPr>
          <w:rFonts w:ascii="Times New Roman" w:hAnsi="Times New Roman" w:cs="Times New Roman"/>
          <w:b/>
          <w:bCs/>
          <w:sz w:val="36"/>
          <w:szCs w:val="36"/>
        </w:rPr>
      </w:pPr>
      <w:r w:rsidRPr="00032E42">
        <w:rPr>
          <w:rFonts w:ascii="Times New Roman" w:hAnsi="Times New Roman" w:cs="Times New Roman"/>
          <w:b/>
          <w:bCs/>
          <w:sz w:val="36"/>
          <w:szCs w:val="36"/>
        </w:rPr>
        <w:t>Key Grape Varieties</w:t>
      </w:r>
    </w:p>
    <w:p w14:paraId="43F71734" w14:textId="77777777" w:rsidR="00435E1D" w:rsidRDefault="00435E1D" w:rsidP="00435E1D">
      <w:pPr>
        <w:numPr>
          <w:ilvl w:val="0"/>
          <w:numId w:val="18"/>
        </w:numPr>
        <w:rPr>
          <w:rFonts w:ascii="Times New Roman" w:hAnsi="Times New Roman" w:cs="Times New Roman"/>
          <w:sz w:val="36"/>
          <w:szCs w:val="36"/>
        </w:rPr>
      </w:pPr>
      <w:r w:rsidRPr="00435E1D">
        <w:rPr>
          <w:rFonts w:ascii="Times New Roman" w:hAnsi="Times New Roman" w:cs="Times New Roman"/>
          <w:sz w:val="36"/>
          <w:szCs w:val="36"/>
        </w:rPr>
        <w:t>Primary White Varieties:</w:t>
      </w:r>
    </w:p>
    <w:p w14:paraId="542F3EA8" w14:textId="284AB2DE" w:rsidR="009657FB" w:rsidRPr="00435E1D" w:rsidRDefault="009657FB" w:rsidP="009657FB">
      <w:pPr>
        <w:ind w:left="720"/>
        <w:rPr>
          <w:rFonts w:ascii="Times New Roman" w:hAnsi="Times New Roman" w:cs="Times New Roman"/>
          <w:sz w:val="36"/>
          <w:szCs w:val="36"/>
        </w:rPr>
      </w:pPr>
      <w:r>
        <w:rPr>
          <w:noProof/>
        </w:rPr>
        <w:lastRenderedPageBreak/>
        <w:drawing>
          <wp:anchor distT="0" distB="0" distL="114300" distR="114300" simplePos="0" relativeHeight="251660288" behindDoc="0" locked="0" layoutInCell="1" allowOverlap="1" wp14:anchorId="162FEBF4" wp14:editId="0B60C1D0">
            <wp:simplePos x="0" y="0"/>
            <wp:positionH relativeFrom="margin">
              <wp:align>right</wp:align>
            </wp:positionH>
            <wp:positionV relativeFrom="paragraph">
              <wp:posOffset>0</wp:posOffset>
            </wp:positionV>
            <wp:extent cx="5943600" cy="2853055"/>
            <wp:effectExtent l="0" t="0" r="0" b="4445"/>
            <wp:wrapSquare wrapText="bothSides"/>
            <wp:docPr id="1799783667" name="Picture 4" descr="Top Alsatian Riesling Wines for the Greatest Va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op Alsatian Riesling Wines for the Greatest Valu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2853055"/>
                    </a:xfrm>
                    <a:prstGeom prst="rect">
                      <a:avLst/>
                    </a:prstGeom>
                    <a:noFill/>
                    <a:ln>
                      <a:noFill/>
                    </a:ln>
                  </pic:spPr>
                </pic:pic>
              </a:graphicData>
            </a:graphic>
          </wp:anchor>
        </w:drawing>
      </w:r>
    </w:p>
    <w:p w14:paraId="7942074B" w14:textId="27FD2233" w:rsidR="00435E1D" w:rsidRPr="00435E1D" w:rsidRDefault="00435E1D" w:rsidP="00435E1D">
      <w:pPr>
        <w:numPr>
          <w:ilvl w:val="1"/>
          <w:numId w:val="18"/>
        </w:numPr>
        <w:rPr>
          <w:rFonts w:ascii="Times New Roman" w:hAnsi="Times New Roman" w:cs="Times New Roman"/>
          <w:sz w:val="36"/>
          <w:szCs w:val="36"/>
        </w:rPr>
      </w:pPr>
      <w:r w:rsidRPr="00435E1D">
        <w:rPr>
          <w:rFonts w:ascii="Times New Roman" w:hAnsi="Times New Roman" w:cs="Times New Roman"/>
          <w:i/>
          <w:iCs/>
          <w:sz w:val="36"/>
          <w:szCs w:val="36"/>
        </w:rPr>
        <w:t>Riesling</w:t>
      </w:r>
      <w:r w:rsidRPr="00435E1D">
        <w:rPr>
          <w:rFonts w:ascii="Times New Roman" w:hAnsi="Times New Roman" w:cs="Times New Roman"/>
          <w:sz w:val="36"/>
          <w:szCs w:val="36"/>
        </w:rPr>
        <w:t xml:space="preserve"> – High acidity, mineral-driven, capable of long aging.</w:t>
      </w:r>
    </w:p>
    <w:p w14:paraId="751ECD8A" w14:textId="54BCB35B" w:rsidR="00435E1D" w:rsidRPr="00435E1D" w:rsidRDefault="009657FB" w:rsidP="00435E1D">
      <w:pPr>
        <w:numPr>
          <w:ilvl w:val="1"/>
          <w:numId w:val="18"/>
        </w:numPr>
        <w:rPr>
          <w:rFonts w:ascii="Times New Roman" w:hAnsi="Times New Roman" w:cs="Times New Roman"/>
          <w:sz w:val="36"/>
          <w:szCs w:val="36"/>
        </w:rPr>
      </w:pPr>
      <w:r>
        <w:rPr>
          <w:noProof/>
        </w:rPr>
        <w:drawing>
          <wp:anchor distT="0" distB="0" distL="114300" distR="114300" simplePos="0" relativeHeight="251661312" behindDoc="0" locked="0" layoutInCell="1" allowOverlap="1" wp14:anchorId="796F3F13" wp14:editId="14CB7BA6">
            <wp:simplePos x="0" y="0"/>
            <wp:positionH relativeFrom="column">
              <wp:posOffset>5038725</wp:posOffset>
            </wp:positionH>
            <wp:positionV relativeFrom="paragraph">
              <wp:posOffset>589915</wp:posOffset>
            </wp:positionV>
            <wp:extent cx="775970" cy="3124200"/>
            <wp:effectExtent l="0" t="0" r="5080" b="0"/>
            <wp:wrapSquare wrapText="bothSides"/>
            <wp:docPr id="1503579543" name="Picture 5" descr="Sylvaner Alsace Réserve Particuliè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ylvaner Alsace Réserve Particulière"/>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a:stretch/>
                  </pic:blipFill>
                  <pic:spPr bwMode="auto">
                    <a:xfrm>
                      <a:off x="0" y="0"/>
                      <a:ext cx="775970" cy="3124200"/>
                    </a:xfrm>
                    <a:prstGeom prst="rect">
                      <a:avLst/>
                    </a:prstGeom>
                    <a:noFill/>
                    <a:ln>
                      <a:noFill/>
                    </a:ln>
                    <a:extLst>
                      <a:ext uri="{53640926-AAD7-44D8-BBD7-CCE9431645EC}">
                        <a14:shadowObscured xmlns:a14="http://schemas.microsoft.com/office/drawing/2010/main"/>
                      </a:ext>
                    </a:extLst>
                  </pic:spPr>
                </pic:pic>
              </a:graphicData>
            </a:graphic>
          </wp:anchor>
        </w:drawing>
      </w:r>
      <w:r w:rsidR="00435E1D" w:rsidRPr="00435E1D">
        <w:rPr>
          <w:rFonts w:ascii="Times New Roman" w:hAnsi="Times New Roman" w:cs="Times New Roman"/>
          <w:i/>
          <w:iCs/>
          <w:sz w:val="36"/>
          <w:szCs w:val="36"/>
        </w:rPr>
        <w:t>Gewürztraminer</w:t>
      </w:r>
      <w:r w:rsidR="00435E1D" w:rsidRPr="00435E1D">
        <w:rPr>
          <w:rFonts w:ascii="Times New Roman" w:hAnsi="Times New Roman" w:cs="Times New Roman"/>
          <w:sz w:val="36"/>
          <w:szCs w:val="36"/>
        </w:rPr>
        <w:t xml:space="preserve"> – Full-bodied, aromatic, often with lychee and floral notes.</w:t>
      </w:r>
    </w:p>
    <w:p w14:paraId="39C02CBB" w14:textId="77777777" w:rsidR="00435E1D" w:rsidRPr="00435E1D" w:rsidRDefault="00435E1D" w:rsidP="00435E1D">
      <w:pPr>
        <w:numPr>
          <w:ilvl w:val="1"/>
          <w:numId w:val="18"/>
        </w:numPr>
        <w:rPr>
          <w:rFonts w:ascii="Times New Roman" w:hAnsi="Times New Roman" w:cs="Times New Roman"/>
          <w:sz w:val="36"/>
          <w:szCs w:val="36"/>
        </w:rPr>
      </w:pPr>
      <w:r w:rsidRPr="00435E1D">
        <w:rPr>
          <w:rFonts w:ascii="Times New Roman" w:hAnsi="Times New Roman" w:cs="Times New Roman"/>
          <w:i/>
          <w:iCs/>
          <w:sz w:val="36"/>
          <w:szCs w:val="36"/>
        </w:rPr>
        <w:t>Pinot Gris</w:t>
      </w:r>
      <w:r w:rsidRPr="00435E1D">
        <w:rPr>
          <w:rFonts w:ascii="Times New Roman" w:hAnsi="Times New Roman" w:cs="Times New Roman"/>
          <w:sz w:val="36"/>
          <w:szCs w:val="36"/>
        </w:rPr>
        <w:t xml:space="preserve"> – Rich texture, stone fruit, and spice flavors.</w:t>
      </w:r>
    </w:p>
    <w:p w14:paraId="1C80D6AE" w14:textId="77777777" w:rsidR="00435E1D" w:rsidRPr="00435E1D" w:rsidRDefault="00435E1D" w:rsidP="00435E1D">
      <w:pPr>
        <w:numPr>
          <w:ilvl w:val="1"/>
          <w:numId w:val="18"/>
        </w:numPr>
        <w:rPr>
          <w:rFonts w:ascii="Times New Roman" w:hAnsi="Times New Roman" w:cs="Times New Roman"/>
          <w:sz w:val="36"/>
          <w:szCs w:val="36"/>
        </w:rPr>
      </w:pPr>
      <w:r w:rsidRPr="00435E1D">
        <w:rPr>
          <w:rFonts w:ascii="Times New Roman" w:hAnsi="Times New Roman" w:cs="Times New Roman"/>
          <w:i/>
          <w:iCs/>
          <w:sz w:val="36"/>
          <w:szCs w:val="36"/>
        </w:rPr>
        <w:t>Muscat</w:t>
      </w:r>
      <w:r w:rsidRPr="00435E1D">
        <w:rPr>
          <w:rFonts w:ascii="Times New Roman" w:hAnsi="Times New Roman" w:cs="Times New Roman"/>
          <w:sz w:val="36"/>
          <w:szCs w:val="36"/>
        </w:rPr>
        <w:t xml:space="preserve"> – Fragrant, with intense grape and floral aromas (Wine Enthusiast, 2024).</w:t>
      </w:r>
    </w:p>
    <w:p w14:paraId="15B89566" w14:textId="0F29B69D" w:rsidR="00435E1D" w:rsidRPr="00032E42" w:rsidRDefault="00435E1D" w:rsidP="00435E1D">
      <w:pPr>
        <w:numPr>
          <w:ilvl w:val="0"/>
          <w:numId w:val="18"/>
        </w:numPr>
        <w:rPr>
          <w:rFonts w:ascii="Times New Roman" w:hAnsi="Times New Roman" w:cs="Times New Roman"/>
          <w:b/>
          <w:bCs/>
          <w:sz w:val="36"/>
          <w:szCs w:val="36"/>
        </w:rPr>
      </w:pPr>
      <w:r w:rsidRPr="00032E42">
        <w:rPr>
          <w:rFonts w:ascii="Times New Roman" w:hAnsi="Times New Roman" w:cs="Times New Roman"/>
          <w:b/>
          <w:bCs/>
          <w:sz w:val="36"/>
          <w:szCs w:val="36"/>
        </w:rPr>
        <w:t>Secondary Varieties:</w:t>
      </w:r>
      <w:r w:rsidR="009657FB" w:rsidRPr="009657FB">
        <w:t xml:space="preserve"> </w:t>
      </w:r>
    </w:p>
    <w:p w14:paraId="654828C5" w14:textId="77777777" w:rsidR="00435E1D" w:rsidRPr="00435E1D" w:rsidRDefault="00435E1D" w:rsidP="00435E1D">
      <w:pPr>
        <w:numPr>
          <w:ilvl w:val="1"/>
          <w:numId w:val="18"/>
        </w:numPr>
        <w:rPr>
          <w:rFonts w:ascii="Times New Roman" w:hAnsi="Times New Roman" w:cs="Times New Roman"/>
          <w:sz w:val="36"/>
          <w:szCs w:val="36"/>
        </w:rPr>
      </w:pPr>
      <w:r w:rsidRPr="00435E1D">
        <w:rPr>
          <w:rFonts w:ascii="Times New Roman" w:hAnsi="Times New Roman" w:cs="Times New Roman"/>
          <w:i/>
          <w:iCs/>
          <w:sz w:val="36"/>
          <w:szCs w:val="36"/>
        </w:rPr>
        <w:t>Sylvaner</w:t>
      </w:r>
      <w:r w:rsidRPr="00435E1D">
        <w:rPr>
          <w:rFonts w:ascii="Times New Roman" w:hAnsi="Times New Roman" w:cs="Times New Roman"/>
          <w:sz w:val="36"/>
          <w:szCs w:val="36"/>
        </w:rPr>
        <w:t xml:space="preserve">, </w:t>
      </w:r>
      <w:r w:rsidRPr="00435E1D">
        <w:rPr>
          <w:rFonts w:ascii="Times New Roman" w:hAnsi="Times New Roman" w:cs="Times New Roman"/>
          <w:i/>
          <w:iCs/>
          <w:sz w:val="36"/>
          <w:szCs w:val="36"/>
        </w:rPr>
        <w:t>Pinot Blanc</w:t>
      </w:r>
      <w:r w:rsidRPr="00435E1D">
        <w:rPr>
          <w:rFonts w:ascii="Times New Roman" w:hAnsi="Times New Roman" w:cs="Times New Roman"/>
          <w:sz w:val="36"/>
          <w:szCs w:val="36"/>
        </w:rPr>
        <w:t xml:space="preserve">, </w:t>
      </w:r>
      <w:proofErr w:type="spellStart"/>
      <w:r w:rsidRPr="00435E1D">
        <w:rPr>
          <w:rFonts w:ascii="Times New Roman" w:hAnsi="Times New Roman" w:cs="Times New Roman"/>
          <w:i/>
          <w:iCs/>
          <w:sz w:val="36"/>
          <w:szCs w:val="36"/>
        </w:rPr>
        <w:t>Chasselas</w:t>
      </w:r>
      <w:proofErr w:type="spellEnd"/>
      <w:r w:rsidRPr="00435E1D">
        <w:rPr>
          <w:rFonts w:ascii="Times New Roman" w:hAnsi="Times New Roman" w:cs="Times New Roman"/>
          <w:sz w:val="36"/>
          <w:szCs w:val="36"/>
        </w:rPr>
        <w:t xml:space="preserve">, and </w:t>
      </w:r>
      <w:proofErr w:type="spellStart"/>
      <w:r w:rsidRPr="00435E1D">
        <w:rPr>
          <w:rFonts w:ascii="Times New Roman" w:hAnsi="Times New Roman" w:cs="Times New Roman"/>
          <w:i/>
          <w:iCs/>
          <w:sz w:val="36"/>
          <w:szCs w:val="36"/>
        </w:rPr>
        <w:t>Auxerrois</w:t>
      </w:r>
      <w:proofErr w:type="spellEnd"/>
      <w:r w:rsidRPr="00435E1D">
        <w:rPr>
          <w:rFonts w:ascii="Times New Roman" w:hAnsi="Times New Roman" w:cs="Times New Roman"/>
          <w:sz w:val="36"/>
          <w:szCs w:val="36"/>
        </w:rPr>
        <w:t xml:space="preserve"> are also cultivated.</w:t>
      </w:r>
    </w:p>
    <w:p w14:paraId="1C50E8AF" w14:textId="77777777" w:rsidR="00435E1D" w:rsidRPr="00032E42" w:rsidRDefault="00435E1D" w:rsidP="00435E1D">
      <w:pPr>
        <w:rPr>
          <w:rFonts w:ascii="Times New Roman" w:hAnsi="Times New Roman" w:cs="Times New Roman"/>
          <w:b/>
          <w:bCs/>
          <w:sz w:val="36"/>
          <w:szCs w:val="36"/>
        </w:rPr>
      </w:pPr>
      <w:r w:rsidRPr="00032E42">
        <w:rPr>
          <w:rFonts w:ascii="Times New Roman" w:hAnsi="Times New Roman" w:cs="Times New Roman"/>
          <w:b/>
          <w:bCs/>
          <w:sz w:val="36"/>
          <w:szCs w:val="36"/>
        </w:rPr>
        <w:t>Wine Classification System</w:t>
      </w:r>
    </w:p>
    <w:p w14:paraId="66FB3041" w14:textId="77777777" w:rsidR="00435E1D" w:rsidRPr="00435E1D" w:rsidRDefault="00435E1D" w:rsidP="00435E1D">
      <w:pPr>
        <w:numPr>
          <w:ilvl w:val="0"/>
          <w:numId w:val="19"/>
        </w:numPr>
        <w:rPr>
          <w:rFonts w:ascii="Times New Roman" w:hAnsi="Times New Roman" w:cs="Times New Roman"/>
          <w:sz w:val="36"/>
          <w:szCs w:val="36"/>
        </w:rPr>
      </w:pPr>
      <w:r w:rsidRPr="00435E1D">
        <w:rPr>
          <w:rFonts w:ascii="Times New Roman" w:hAnsi="Times New Roman" w:cs="Times New Roman"/>
          <w:sz w:val="36"/>
          <w:szCs w:val="36"/>
        </w:rPr>
        <w:t>AOC Alsace – The primary designation for Alsace wines, covering all permitted grape varieties.</w:t>
      </w:r>
    </w:p>
    <w:p w14:paraId="4D770DAC" w14:textId="77777777" w:rsidR="00435E1D" w:rsidRPr="00435E1D" w:rsidRDefault="00435E1D" w:rsidP="00435E1D">
      <w:pPr>
        <w:numPr>
          <w:ilvl w:val="0"/>
          <w:numId w:val="19"/>
        </w:numPr>
        <w:rPr>
          <w:rFonts w:ascii="Times New Roman" w:hAnsi="Times New Roman" w:cs="Times New Roman"/>
          <w:sz w:val="36"/>
          <w:szCs w:val="36"/>
        </w:rPr>
      </w:pPr>
      <w:r w:rsidRPr="00435E1D">
        <w:rPr>
          <w:rFonts w:ascii="Times New Roman" w:hAnsi="Times New Roman" w:cs="Times New Roman"/>
          <w:sz w:val="36"/>
          <w:szCs w:val="36"/>
        </w:rPr>
        <w:lastRenderedPageBreak/>
        <w:t xml:space="preserve">AOC Alsace Grand Cru – Established in 1975, this classification includes 51 vineyards that must adhere to strict yield and quality regulations. Only Riesling, Gewürztraminer, Pinot Gris, and Muscat are allowed, except for </w:t>
      </w:r>
      <w:proofErr w:type="spellStart"/>
      <w:r w:rsidRPr="00435E1D">
        <w:rPr>
          <w:rFonts w:ascii="Times New Roman" w:hAnsi="Times New Roman" w:cs="Times New Roman"/>
          <w:sz w:val="36"/>
          <w:szCs w:val="36"/>
        </w:rPr>
        <w:t>Zotzenberg</w:t>
      </w:r>
      <w:proofErr w:type="spellEnd"/>
      <w:r w:rsidRPr="00435E1D">
        <w:rPr>
          <w:rFonts w:ascii="Times New Roman" w:hAnsi="Times New Roman" w:cs="Times New Roman"/>
          <w:sz w:val="36"/>
          <w:szCs w:val="36"/>
        </w:rPr>
        <w:t>, which includes Sylvaner.</w:t>
      </w:r>
    </w:p>
    <w:p w14:paraId="6B545413" w14:textId="77777777" w:rsidR="00435E1D" w:rsidRPr="00435E1D" w:rsidRDefault="00435E1D" w:rsidP="00435E1D">
      <w:pPr>
        <w:numPr>
          <w:ilvl w:val="0"/>
          <w:numId w:val="19"/>
        </w:numPr>
        <w:rPr>
          <w:rFonts w:ascii="Times New Roman" w:hAnsi="Times New Roman" w:cs="Times New Roman"/>
          <w:sz w:val="36"/>
          <w:szCs w:val="36"/>
        </w:rPr>
      </w:pPr>
      <w:r w:rsidRPr="00435E1D">
        <w:rPr>
          <w:rFonts w:ascii="Times New Roman" w:hAnsi="Times New Roman" w:cs="Times New Roman"/>
          <w:sz w:val="36"/>
          <w:szCs w:val="36"/>
        </w:rPr>
        <w:t xml:space="preserve">AOC Crémant </w:t>
      </w:r>
      <w:proofErr w:type="spellStart"/>
      <w:r w:rsidRPr="00435E1D">
        <w:rPr>
          <w:rFonts w:ascii="Times New Roman" w:hAnsi="Times New Roman" w:cs="Times New Roman"/>
          <w:sz w:val="36"/>
          <w:szCs w:val="36"/>
        </w:rPr>
        <w:t>d’Alsace</w:t>
      </w:r>
      <w:proofErr w:type="spellEnd"/>
      <w:r w:rsidRPr="00435E1D">
        <w:rPr>
          <w:rFonts w:ascii="Times New Roman" w:hAnsi="Times New Roman" w:cs="Times New Roman"/>
          <w:sz w:val="36"/>
          <w:szCs w:val="36"/>
        </w:rPr>
        <w:t xml:space="preserve"> – A sparkling wine designation produced using the traditional method, featuring Pinot Blanc, </w:t>
      </w:r>
      <w:proofErr w:type="spellStart"/>
      <w:r w:rsidRPr="00435E1D">
        <w:rPr>
          <w:rFonts w:ascii="Times New Roman" w:hAnsi="Times New Roman" w:cs="Times New Roman"/>
          <w:sz w:val="36"/>
          <w:szCs w:val="36"/>
        </w:rPr>
        <w:t>Auxerrois</w:t>
      </w:r>
      <w:proofErr w:type="spellEnd"/>
      <w:r w:rsidRPr="00435E1D">
        <w:rPr>
          <w:rFonts w:ascii="Times New Roman" w:hAnsi="Times New Roman" w:cs="Times New Roman"/>
          <w:sz w:val="36"/>
          <w:szCs w:val="36"/>
        </w:rPr>
        <w:t>, Pinot Gris, Pinot Noir, Riesling, and Chardonnay (INAO, 2024).</w:t>
      </w:r>
    </w:p>
    <w:p w14:paraId="1D2A5FE1" w14:textId="7A8C9220" w:rsidR="00435E1D" w:rsidRPr="00032E42" w:rsidRDefault="00435E1D" w:rsidP="00435E1D">
      <w:pPr>
        <w:rPr>
          <w:rFonts w:ascii="Times New Roman" w:hAnsi="Times New Roman" w:cs="Times New Roman"/>
          <w:b/>
          <w:bCs/>
          <w:sz w:val="36"/>
          <w:szCs w:val="36"/>
        </w:rPr>
      </w:pPr>
      <w:r w:rsidRPr="00032E42">
        <w:rPr>
          <w:rFonts w:ascii="Times New Roman" w:hAnsi="Times New Roman" w:cs="Times New Roman"/>
          <w:b/>
          <w:bCs/>
          <w:sz w:val="36"/>
          <w:szCs w:val="36"/>
        </w:rPr>
        <w:t>Notable Wine Styles</w:t>
      </w:r>
      <w:r w:rsidR="00BC51BE">
        <w:rPr>
          <w:rFonts w:ascii="Times New Roman" w:hAnsi="Times New Roman" w:cs="Times New Roman"/>
          <w:b/>
          <w:bCs/>
          <w:noProof/>
          <w:sz w:val="36"/>
          <w:szCs w:val="36"/>
        </w:rPr>
        <w:drawing>
          <wp:anchor distT="0" distB="0" distL="114300" distR="114300" simplePos="0" relativeHeight="251663360" behindDoc="0" locked="0" layoutInCell="1" allowOverlap="1" wp14:anchorId="7DCEDEE4" wp14:editId="6CF33254">
            <wp:simplePos x="0" y="0"/>
            <wp:positionH relativeFrom="column">
              <wp:posOffset>0</wp:posOffset>
            </wp:positionH>
            <wp:positionV relativeFrom="paragraph">
              <wp:posOffset>306070</wp:posOffset>
            </wp:positionV>
            <wp:extent cx="5943600" cy="4163695"/>
            <wp:effectExtent l="0" t="0" r="0" b="8255"/>
            <wp:wrapSquare wrapText="bothSides"/>
            <wp:docPr id="156467572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4675726" name="Picture 1564675726"/>
                    <pic:cNvPicPr/>
                  </pic:nvPicPr>
                  <pic:blipFill>
                    <a:blip r:embed="rId11">
                      <a:extLst>
                        <a:ext uri="{28A0092B-C50C-407E-A947-70E740481C1C}">
                          <a14:useLocalDpi xmlns:a14="http://schemas.microsoft.com/office/drawing/2010/main" val="0"/>
                        </a:ext>
                      </a:extLst>
                    </a:blip>
                    <a:stretch>
                      <a:fillRect/>
                    </a:stretch>
                  </pic:blipFill>
                  <pic:spPr>
                    <a:xfrm>
                      <a:off x="0" y="0"/>
                      <a:ext cx="5943600" cy="4163695"/>
                    </a:xfrm>
                    <a:prstGeom prst="rect">
                      <a:avLst/>
                    </a:prstGeom>
                  </pic:spPr>
                </pic:pic>
              </a:graphicData>
            </a:graphic>
          </wp:anchor>
        </w:drawing>
      </w:r>
    </w:p>
    <w:p w14:paraId="7DAD01B1" w14:textId="77777777" w:rsidR="00435E1D" w:rsidRPr="00435E1D" w:rsidRDefault="00435E1D" w:rsidP="00435E1D">
      <w:pPr>
        <w:numPr>
          <w:ilvl w:val="0"/>
          <w:numId w:val="20"/>
        </w:numPr>
        <w:rPr>
          <w:rFonts w:ascii="Times New Roman" w:hAnsi="Times New Roman" w:cs="Times New Roman"/>
          <w:sz w:val="36"/>
          <w:szCs w:val="36"/>
        </w:rPr>
      </w:pPr>
      <w:r w:rsidRPr="00435E1D">
        <w:rPr>
          <w:rFonts w:ascii="Times New Roman" w:hAnsi="Times New Roman" w:cs="Times New Roman"/>
          <w:sz w:val="36"/>
          <w:szCs w:val="36"/>
        </w:rPr>
        <w:t>Riesling (Dry White)</w:t>
      </w:r>
    </w:p>
    <w:p w14:paraId="7126E406" w14:textId="77777777" w:rsidR="00435E1D" w:rsidRPr="00435E1D" w:rsidRDefault="00435E1D" w:rsidP="00435E1D">
      <w:pPr>
        <w:numPr>
          <w:ilvl w:val="1"/>
          <w:numId w:val="20"/>
        </w:numPr>
        <w:rPr>
          <w:rFonts w:ascii="Times New Roman" w:hAnsi="Times New Roman" w:cs="Times New Roman"/>
          <w:sz w:val="36"/>
          <w:szCs w:val="36"/>
        </w:rPr>
      </w:pPr>
      <w:r w:rsidRPr="00435E1D">
        <w:rPr>
          <w:rFonts w:ascii="Times New Roman" w:hAnsi="Times New Roman" w:cs="Times New Roman"/>
          <w:i/>
          <w:iCs/>
          <w:sz w:val="36"/>
          <w:szCs w:val="36"/>
        </w:rPr>
        <w:t>Classification Level:</w:t>
      </w:r>
      <w:r w:rsidRPr="00435E1D">
        <w:rPr>
          <w:rFonts w:ascii="Times New Roman" w:hAnsi="Times New Roman" w:cs="Times New Roman"/>
          <w:sz w:val="36"/>
          <w:szCs w:val="36"/>
        </w:rPr>
        <w:t xml:space="preserve"> AOC Alsace / Grand Cru</w:t>
      </w:r>
    </w:p>
    <w:p w14:paraId="7C06BCC7" w14:textId="77777777" w:rsidR="00435E1D" w:rsidRPr="00435E1D" w:rsidRDefault="00435E1D" w:rsidP="00435E1D">
      <w:pPr>
        <w:numPr>
          <w:ilvl w:val="1"/>
          <w:numId w:val="20"/>
        </w:numPr>
        <w:rPr>
          <w:rFonts w:ascii="Times New Roman" w:hAnsi="Times New Roman" w:cs="Times New Roman"/>
          <w:sz w:val="36"/>
          <w:szCs w:val="36"/>
        </w:rPr>
      </w:pPr>
      <w:r w:rsidRPr="00435E1D">
        <w:rPr>
          <w:rFonts w:ascii="Times New Roman" w:hAnsi="Times New Roman" w:cs="Times New Roman"/>
          <w:i/>
          <w:iCs/>
          <w:sz w:val="36"/>
          <w:szCs w:val="36"/>
        </w:rPr>
        <w:lastRenderedPageBreak/>
        <w:t>Composition:</w:t>
      </w:r>
      <w:r w:rsidRPr="00435E1D">
        <w:rPr>
          <w:rFonts w:ascii="Times New Roman" w:hAnsi="Times New Roman" w:cs="Times New Roman"/>
          <w:sz w:val="36"/>
          <w:szCs w:val="36"/>
        </w:rPr>
        <w:t xml:space="preserve"> 100% Riesling</w:t>
      </w:r>
    </w:p>
    <w:p w14:paraId="29850F36" w14:textId="77777777" w:rsidR="00435E1D" w:rsidRPr="00435E1D" w:rsidRDefault="00435E1D" w:rsidP="00435E1D">
      <w:pPr>
        <w:numPr>
          <w:ilvl w:val="1"/>
          <w:numId w:val="20"/>
        </w:numPr>
        <w:rPr>
          <w:rFonts w:ascii="Times New Roman" w:hAnsi="Times New Roman" w:cs="Times New Roman"/>
          <w:sz w:val="36"/>
          <w:szCs w:val="36"/>
        </w:rPr>
      </w:pPr>
      <w:r w:rsidRPr="00435E1D">
        <w:rPr>
          <w:rFonts w:ascii="Times New Roman" w:hAnsi="Times New Roman" w:cs="Times New Roman"/>
          <w:i/>
          <w:iCs/>
          <w:sz w:val="36"/>
          <w:szCs w:val="36"/>
        </w:rPr>
        <w:t>Production Method:</w:t>
      </w:r>
      <w:r w:rsidRPr="00435E1D">
        <w:rPr>
          <w:rFonts w:ascii="Times New Roman" w:hAnsi="Times New Roman" w:cs="Times New Roman"/>
          <w:sz w:val="36"/>
          <w:szCs w:val="36"/>
        </w:rPr>
        <w:t xml:space="preserve"> Fermented in stainless steel or neutral barrels</w:t>
      </w:r>
    </w:p>
    <w:p w14:paraId="70A55A43" w14:textId="77777777" w:rsidR="00435E1D" w:rsidRPr="00435E1D" w:rsidRDefault="00435E1D" w:rsidP="00435E1D">
      <w:pPr>
        <w:numPr>
          <w:ilvl w:val="1"/>
          <w:numId w:val="20"/>
        </w:numPr>
        <w:rPr>
          <w:rFonts w:ascii="Times New Roman" w:hAnsi="Times New Roman" w:cs="Times New Roman"/>
          <w:sz w:val="36"/>
          <w:szCs w:val="36"/>
        </w:rPr>
      </w:pPr>
      <w:r w:rsidRPr="00435E1D">
        <w:rPr>
          <w:rFonts w:ascii="Times New Roman" w:hAnsi="Times New Roman" w:cs="Times New Roman"/>
          <w:i/>
          <w:iCs/>
          <w:sz w:val="36"/>
          <w:szCs w:val="36"/>
        </w:rPr>
        <w:t>Aging Potential:</w:t>
      </w:r>
      <w:r w:rsidRPr="00435E1D">
        <w:rPr>
          <w:rFonts w:ascii="Times New Roman" w:hAnsi="Times New Roman" w:cs="Times New Roman"/>
          <w:sz w:val="36"/>
          <w:szCs w:val="36"/>
        </w:rPr>
        <w:t xml:space="preserve"> 5–15 years</w:t>
      </w:r>
    </w:p>
    <w:p w14:paraId="1284BFC4" w14:textId="77777777" w:rsidR="00435E1D" w:rsidRPr="00435E1D" w:rsidRDefault="00435E1D" w:rsidP="00435E1D">
      <w:pPr>
        <w:numPr>
          <w:ilvl w:val="1"/>
          <w:numId w:val="20"/>
        </w:numPr>
        <w:rPr>
          <w:rFonts w:ascii="Times New Roman" w:hAnsi="Times New Roman" w:cs="Times New Roman"/>
          <w:sz w:val="36"/>
          <w:szCs w:val="36"/>
        </w:rPr>
      </w:pPr>
      <w:r w:rsidRPr="00435E1D">
        <w:rPr>
          <w:rFonts w:ascii="Times New Roman" w:hAnsi="Times New Roman" w:cs="Times New Roman"/>
          <w:i/>
          <w:iCs/>
          <w:sz w:val="36"/>
          <w:szCs w:val="36"/>
        </w:rPr>
        <w:t>Alcohol Content:</w:t>
      </w:r>
      <w:r w:rsidRPr="00435E1D">
        <w:rPr>
          <w:rFonts w:ascii="Times New Roman" w:hAnsi="Times New Roman" w:cs="Times New Roman"/>
          <w:sz w:val="36"/>
          <w:szCs w:val="36"/>
        </w:rPr>
        <w:t xml:space="preserve"> 12–14% ABV</w:t>
      </w:r>
    </w:p>
    <w:p w14:paraId="09BD8CC3" w14:textId="77777777" w:rsidR="00435E1D" w:rsidRPr="00435E1D" w:rsidRDefault="00435E1D" w:rsidP="00435E1D">
      <w:pPr>
        <w:numPr>
          <w:ilvl w:val="1"/>
          <w:numId w:val="20"/>
        </w:numPr>
        <w:rPr>
          <w:rFonts w:ascii="Times New Roman" w:hAnsi="Times New Roman" w:cs="Times New Roman"/>
          <w:sz w:val="36"/>
          <w:szCs w:val="36"/>
        </w:rPr>
      </w:pPr>
      <w:r w:rsidRPr="00435E1D">
        <w:rPr>
          <w:rFonts w:ascii="Times New Roman" w:hAnsi="Times New Roman" w:cs="Times New Roman"/>
          <w:i/>
          <w:iCs/>
          <w:sz w:val="36"/>
          <w:szCs w:val="36"/>
        </w:rPr>
        <w:t>Organoleptic Profile:</w:t>
      </w:r>
      <w:r w:rsidRPr="00435E1D">
        <w:rPr>
          <w:rFonts w:ascii="Times New Roman" w:hAnsi="Times New Roman" w:cs="Times New Roman"/>
          <w:sz w:val="36"/>
          <w:szCs w:val="36"/>
        </w:rPr>
        <w:t xml:space="preserve"> High acidity, flinty minerality, citrus, and petrol notes with age (Wine-Searcher, 2024).</w:t>
      </w:r>
    </w:p>
    <w:p w14:paraId="47CDBE0D" w14:textId="77777777" w:rsidR="00435E1D" w:rsidRPr="00435E1D" w:rsidRDefault="00435E1D" w:rsidP="00435E1D">
      <w:pPr>
        <w:numPr>
          <w:ilvl w:val="0"/>
          <w:numId w:val="20"/>
        </w:numPr>
        <w:rPr>
          <w:rFonts w:ascii="Times New Roman" w:hAnsi="Times New Roman" w:cs="Times New Roman"/>
          <w:sz w:val="36"/>
          <w:szCs w:val="36"/>
        </w:rPr>
      </w:pPr>
      <w:r w:rsidRPr="00435E1D">
        <w:rPr>
          <w:rFonts w:ascii="Times New Roman" w:hAnsi="Times New Roman" w:cs="Times New Roman"/>
          <w:sz w:val="36"/>
          <w:szCs w:val="36"/>
        </w:rPr>
        <w:t>Gewürztraminer (Aromatic White)</w:t>
      </w:r>
    </w:p>
    <w:p w14:paraId="3B00CED1" w14:textId="77777777" w:rsidR="00435E1D" w:rsidRPr="00435E1D" w:rsidRDefault="00435E1D" w:rsidP="00435E1D">
      <w:pPr>
        <w:numPr>
          <w:ilvl w:val="1"/>
          <w:numId w:val="20"/>
        </w:numPr>
        <w:rPr>
          <w:rFonts w:ascii="Times New Roman" w:hAnsi="Times New Roman" w:cs="Times New Roman"/>
          <w:sz w:val="36"/>
          <w:szCs w:val="36"/>
        </w:rPr>
      </w:pPr>
      <w:r w:rsidRPr="00435E1D">
        <w:rPr>
          <w:rFonts w:ascii="Times New Roman" w:hAnsi="Times New Roman" w:cs="Times New Roman"/>
          <w:i/>
          <w:iCs/>
          <w:sz w:val="36"/>
          <w:szCs w:val="36"/>
        </w:rPr>
        <w:t>Classification Level:</w:t>
      </w:r>
      <w:r w:rsidRPr="00435E1D">
        <w:rPr>
          <w:rFonts w:ascii="Times New Roman" w:hAnsi="Times New Roman" w:cs="Times New Roman"/>
          <w:sz w:val="36"/>
          <w:szCs w:val="36"/>
        </w:rPr>
        <w:t xml:space="preserve"> AOC Alsace / Grand Cru</w:t>
      </w:r>
    </w:p>
    <w:p w14:paraId="290AF674" w14:textId="77777777" w:rsidR="00435E1D" w:rsidRPr="00435E1D" w:rsidRDefault="00435E1D" w:rsidP="00435E1D">
      <w:pPr>
        <w:numPr>
          <w:ilvl w:val="1"/>
          <w:numId w:val="20"/>
        </w:numPr>
        <w:rPr>
          <w:rFonts w:ascii="Times New Roman" w:hAnsi="Times New Roman" w:cs="Times New Roman"/>
          <w:sz w:val="36"/>
          <w:szCs w:val="36"/>
        </w:rPr>
      </w:pPr>
      <w:r w:rsidRPr="00435E1D">
        <w:rPr>
          <w:rFonts w:ascii="Times New Roman" w:hAnsi="Times New Roman" w:cs="Times New Roman"/>
          <w:i/>
          <w:iCs/>
          <w:sz w:val="36"/>
          <w:szCs w:val="36"/>
        </w:rPr>
        <w:t>Composition:</w:t>
      </w:r>
      <w:r w:rsidRPr="00435E1D">
        <w:rPr>
          <w:rFonts w:ascii="Times New Roman" w:hAnsi="Times New Roman" w:cs="Times New Roman"/>
          <w:sz w:val="36"/>
          <w:szCs w:val="36"/>
        </w:rPr>
        <w:t xml:space="preserve"> 100% Gewürztraminer</w:t>
      </w:r>
    </w:p>
    <w:p w14:paraId="249D8168" w14:textId="77777777" w:rsidR="00435E1D" w:rsidRPr="00435E1D" w:rsidRDefault="00435E1D" w:rsidP="00435E1D">
      <w:pPr>
        <w:numPr>
          <w:ilvl w:val="1"/>
          <w:numId w:val="20"/>
        </w:numPr>
        <w:rPr>
          <w:rFonts w:ascii="Times New Roman" w:hAnsi="Times New Roman" w:cs="Times New Roman"/>
          <w:sz w:val="36"/>
          <w:szCs w:val="36"/>
        </w:rPr>
      </w:pPr>
      <w:r w:rsidRPr="00435E1D">
        <w:rPr>
          <w:rFonts w:ascii="Times New Roman" w:hAnsi="Times New Roman" w:cs="Times New Roman"/>
          <w:i/>
          <w:iCs/>
          <w:sz w:val="36"/>
          <w:szCs w:val="36"/>
        </w:rPr>
        <w:t>Production Method:</w:t>
      </w:r>
      <w:r w:rsidRPr="00435E1D">
        <w:rPr>
          <w:rFonts w:ascii="Times New Roman" w:hAnsi="Times New Roman" w:cs="Times New Roman"/>
          <w:sz w:val="36"/>
          <w:szCs w:val="36"/>
        </w:rPr>
        <w:t xml:space="preserve"> Fermented in stainless steel, minimal intervention.</w:t>
      </w:r>
    </w:p>
    <w:p w14:paraId="497A2E46" w14:textId="77777777" w:rsidR="00435E1D" w:rsidRPr="00435E1D" w:rsidRDefault="00435E1D" w:rsidP="00435E1D">
      <w:pPr>
        <w:numPr>
          <w:ilvl w:val="1"/>
          <w:numId w:val="20"/>
        </w:numPr>
        <w:rPr>
          <w:rFonts w:ascii="Times New Roman" w:hAnsi="Times New Roman" w:cs="Times New Roman"/>
          <w:sz w:val="36"/>
          <w:szCs w:val="36"/>
        </w:rPr>
      </w:pPr>
      <w:r w:rsidRPr="00435E1D">
        <w:rPr>
          <w:rFonts w:ascii="Times New Roman" w:hAnsi="Times New Roman" w:cs="Times New Roman"/>
          <w:i/>
          <w:iCs/>
          <w:sz w:val="36"/>
          <w:szCs w:val="36"/>
        </w:rPr>
        <w:t>Aging Potential:</w:t>
      </w:r>
      <w:r w:rsidRPr="00435E1D">
        <w:rPr>
          <w:rFonts w:ascii="Times New Roman" w:hAnsi="Times New Roman" w:cs="Times New Roman"/>
          <w:sz w:val="36"/>
          <w:szCs w:val="36"/>
        </w:rPr>
        <w:t xml:space="preserve"> 5–10 years</w:t>
      </w:r>
    </w:p>
    <w:p w14:paraId="6F4E15CF" w14:textId="77777777" w:rsidR="00435E1D" w:rsidRPr="00435E1D" w:rsidRDefault="00435E1D" w:rsidP="00435E1D">
      <w:pPr>
        <w:numPr>
          <w:ilvl w:val="1"/>
          <w:numId w:val="20"/>
        </w:numPr>
        <w:rPr>
          <w:rFonts w:ascii="Times New Roman" w:hAnsi="Times New Roman" w:cs="Times New Roman"/>
          <w:sz w:val="36"/>
          <w:szCs w:val="36"/>
        </w:rPr>
      </w:pPr>
      <w:r w:rsidRPr="00435E1D">
        <w:rPr>
          <w:rFonts w:ascii="Times New Roman" w:hAnsi="Times New Roman" w:cs="Times New Roman"/>
          <w:i/>
          <w:iCs/>
          <w:sz w:val="36"/>
          <w:szCs w:val="36"/>
        </w:rPr>
        <w:t>Alcohol Content:</w:t>
      </w:r>
      <w:r w:rsidRPr="00435E1D">
        <w:rPr>
          <w:rFonts w:ascii="Times New Roman" w:hAnsi="Times New Roman" w:cs="Times New Roman"/>
          <w:sz w:val="36"/>
          <w:szCs w:val="36"/>
        </w:rPr>
        <w:t xml:space="preserve"> 13–15% ABV</w:t>
      </w:r>
    </w:p>
    <w:p w14:paraId="21A792FF" w14:textId="77777777" w:rsidR="00435E1D" w:rsidRPr="00435E1D" w:rsidRDefault="00435E1D" w:rsidP="00435E1D">
      <w:pPr>
        <w:numPr>
          <w:ilvl w:val="1"/>
          <w:numId w:val="20"/>
        </w:numPr>
        <w:rPr>
          <w:rFonts w:ascii="Times New Roman" w:hAnsi="Times New Roman" w:cs="Times New Roman"/>
          <w:sz w:val="36"/>
          <w:szCs w:val="36"/>
        </w:rPr>
      </w:pPr>
      <w:r w:rsidRPr="00435E1D">
        <w:rPr>
          <w:rFonts w:ascii="Times New Roman" w:hAnsi="Times New Roman" w:cs="Times New Roman"/>
          <w:i/>
          <w:iCs/>
          <w:sz w:val="36"/>
          <w:szCs w:val="36"/>
        </w:rPr>
        <w:t>Organoleptic Profile:</w:t>
      </w:r>
      <w:r w:rsidRPr="00435E1D">
        <w:rPr>
          <w:rFonts w:ascii="Times New Roman" w:hAnsi="Times New Roman" w:cs="Times New Roman"/>
          <w:sz w:val="36"/>
          <w:szCs w:val="36"/>
        </w:rPr>
        <w:t xml:space="preserve"> Lychee, rose petals, exotic spices, full-bodied (Decanter, 2023).</w:t>
      </w:r>
    </w:p>
    <w:p w14:paraId="34BF1096" w14:textId="77777777" w:rsidR="00435E1D" w:rsidRPr="00435E1D" w:rsidRDefault="00435E1D" w:rsidP="00435E1D">
      <w:pPr>
        <w:numPr>
          <w:ilvl w:val="0"/>
          <w:numId w:val="20"/>
        </w:numPr>
        <w:rPr>
          <w:rFonts w:ascii="Times New Roman" w:hAnsi="Times New Roman" w:cs="Times New Roman"/>
          <w:sz w:val="36"/>
          <w:szCs w:val="36"/>
        </w:rPr>
      </w:pPr>
      <w:r w:rsidRPr="00435E1D">
        <w:rPr>
          <w:rFonts w:ascii="Times New Roman" w:hAnsi="Times New Roman" w:cs="Times New Roman"/>
          <w:sz w:val="36"/>
          <w:szCs w:val="36"/>
        </w:rPr>
        <w:t xml:space="preserve">Crémant </w:t>
      </w:r>
      <w:proofErr w:type="spellStart"/>
      <w:r w:rsidRPr="00435E1D">
        <w:rPr>
          <w:rFonts w:ascii="Times New Roman" w:hAnsi="Times New Roman" w:cs="Times New Roman"/>
          <w:sz w:val="36"/>
          <w:szCs w:val="36"/>
        </w:rPr>
        <w:t>d’Alsace</w:t>
      </w:r>
      <w:proofErr w:type="spellEnd"/>
      <w:r w:rsidRPr="00435E1D">
        <w:rPr>
          <w:rFonts w:ascii="Times New Roman" w:hAnsi="Times New Roman" w:cs="Times New Roman"/>
          <w:sz w:val="36"/>
          <w:szCs w:val="36"/>
        </w:rPr>
        <w:t xml:space="preserve"> (Sparkling)</w:t>
      </w:r>
    </w:p>
    <w:p w14:paraId="20EC1D11" w14:textId="77777777" w:rsidR="00435E1D" w:rsidRPr="00435E1D" w:rsidRDefault="00435E1D" w:rsidP="00435E1D">
      <w:pPr>
        <w:numPr>
          <w:ilvl w:val="1"/>
          <w:numId w:val="20"/>
        </w:numPr>
        <w:rPr>
          <w:rFonts w:ascii="Times New Roman" w:hAnsi="Times New Roman" w:cs="Times New Roman"/>
          <w:sz w:val="36"/>
          <w:szCs w:val="36"/>
        </w:rPr>
      </w:pPr>
      <w:r w:rsidRPr="00435E1D">
        <w:rPr>
          <w:rFonts w:ascii="Times New Roman" w:hAnsi="Times New Roman" w:cs="Times New Roman"/>
          <w:i/>
          <w:iCs/>
          <w:sz w:val="36"/>
          <w:szCs w:val="36"/>
        </w:rPr>
        <w:t>Classification Level:</w:t>
      </w:r>
      <w:r w:rsidRPr="00435E1D">
        <w:rPr>
          <w:rFonts w:ascii="Times New Roman" w:hAnsi="Times New Roman" w:cs="Times New Roman"/>
          <w:sz w:val="36"/>
          <w:szCs w:val="36"/>
        </w:rPr>
        <w:t xml:space="preserve"> AOC Crémant </w:t>
      </w:r>
      <w:proofErr w:type="spellStart"/>
      <w:r w:rsidRPr="00435E1D">
        <w:rPr>
          <w:rFonts w:ascii="Times New Roman" w:hAnsi="Times New Roman" w:cs="Times New Roman"/>
          <w:sz w:val="36"/>
          <w:szCs w:val="36"/>
        </w:rPr>
        <w:t>d’Alsace</w:t>
      </w:r>
      <w:proofErr w:type="spellEnd"/>
    </w:p>
    <w:p w14:paraId="1D23CF19" w14:textId="77777777" w:rsidR="00435E1D" w:rsidRPr="00435E1D" w:rsidRDefault="00435E1D" w:rsidP="00435E1D">
      <w:pPr>
        <w:numPr>
          <w:ilvl w:val="1"/>
          <w:numId w:val="20"/>
        </w:numPr>
        <w:rPr>
          <w:rFonts w:ascii="Times New Roman" w:hAnsi="Times New Roman" w:cs="Times New Roman"/>
          <w:sz w:val="36"/>
          <w:szCs w:val="36"/>
        </w:rPr>
      </w:pPr>
      <w:r w:rsidRPr="00435E1D">
        <w:rPr>
          <w:rFonts w:ascii="Times New Roman" w:hAnsi="Times New Roman" w:cs="Times New Roman"/>
          <w:i/>
          <w:iCs/>
          <w:sz w:val="36"/>
          <w:szCs w:val="36"/>
        </w:rPr>
        <w:t>Composition:</w:t>
      </w:r>
      <w:r w:rsidRPr="00435E1D">
        <w:rPr>
          <w:rFonts w:ascii="Times New Roman" w:hAnsi="Times New Roman" w:cs="Times New Roman"/>
          <w:sz w:val="36"/>
          <w:szCs w:val="36"/>
        </w:rPr>
        <w:t xml:space="preserve"> Pinot Blanc, </w:t>
      </w:r>
      <w:proofErr w:type="spellStart"/>
      <w:r w:rsidRPr="00435E1D">
        <w:rPr>
          <w:rFonts w:ascii="Times New Roman" w:hAnsi="Times New Roman" w:cs="Times New Roman"/>
          <w:sz w:val="36"/>
          <w:szCs w:val="36"/>
        </w:rPr>
        <w:t>Auxerrois</w:t>
      </w:r>
      <w:proofErr w:type="spellEnd"/>
      <w:r w:rsidRPr="00435E1D">
        <w:rPr>
          <w:rFonts w:ascii="Times New Roman" w:hAnsi="Times New Roman" w:cs="Times New Roman"/>
          <w:sz w:val="36"/>
          <w:szCs w:val="36"/>
        </w:rPr>
        <w:t>, Pinot Gris, Pinot Noir, Riesling, Chardonnay.</w:t>
      </w:r>
    </w:p>
    <w:p w14:paraId="01CCB539" w14:textId="77777777" w:rsidR="00435E1D" w:rsidRPr="00435E1D" w:rsidRDefault="00435E1D" w:rsidP="00435E1D">
      <w:pPr>
        <w:numPr>
          <w:ilvl w:val="1"/>
          <w:numId w:val="20"/>
        </w:numPr>
        <w:rPr>
          <w:rFonts w:ascii="Times New Roman" w:hAnsi="Times New Roman" w:cs="Times New Roman"/>
          <w:sz w:val="36"/>
          <w:szCs w:val="36"/>
        </w:rPr>
      </w:pPr>
      <w:r w:rsidRPr="00435E1D">
        <w:rPr>
          <w:rFonts w:ascii="Times New Roman" w:hAnsi="Times New Roman" w:cs="Times New Roman"/>
          <w:i/>
          <w:iCs/>
          <w:sz w:val="36"/>
          <w:szCs w:val="36"/>
        </w:rPr>
        <w:lastRenderedPageBreak/>
        <w:t>Production Method:</w:t>
      </w:r>
      <w:r w:rsidRPr="00435E1D">
        <w:rPr>
          <w:rFonts w:ascii="Times New Roman" w:hAnsi="Times New Roman" w:cs="Times New Roman"/>
          <w:sz w:val="36"/>
          <w:szCs w:val="36"/>
        </w:rPr>
        <w:t xml:space="preserve"> Traditional method (</w:t>
      </w:r>
      <w:proofErr w:type="spellStart"/>
      <w:r w:rsidRPr="00435E1D">
        <w:rPr>
          <w:rFonts w:ascii="Times New Roman" w:hAnsi="Times New Roman" w:cs="Times New Roman"/>
          <w:sz w:val="36"/>
          <w:szCs w:val="36"/>
        </w:rPr>
        <w:t>méthode</w:t>
      </w:r>
      <w:proofErr w:type="spellEnd"/>
      <w:r w:rsidRPr="00435E1D">
        <w:rPr>
          <w:rFonts w:ascii="Times New Roman" w:hAnsi="Times New Roman" w:cs="Times New Roman"/>
          <w:sz w:val="36"/>
          <w:szCs w:val="36"/>
        </w:rPr>
        <w:t xml:space="preserve"> champenoise)</w:t>
      </w:r>
    </w:p>
    <w:p w14:paraId="2550F598" w14:textId="77777777" w:rsidR="00435E1D" w:rsidRPr="00435E1D" w:rsidRDefault="00435E1D" w:rsidP="00435E1D">
      <w:pPr>
        <w:numPr>
          <w:ilvl w:val="1"/>
          <w:numId w:val="20"/>
        </w:numPr>
        <w:rPr>
          <w:rFonts w:ascii="Times New Roman" w:hAnsi="Times New Roman" w:cs="Times New Roman"/>
          <w:sz w:val="36"/>
          <w:szCs w:val="36"/>
        </w:rPr>
      </w:pPr>
      <w:r w:rsidRPr="00435E1D">
        <w:rPr>
          <w:rFonts w:ascii="Times New Roman" w:hAnsi="Times New Roman" w:cs="Times New Roman"/>
          <w:i/>
          <w:iCs/>
          <w:sz w:val="36"/>
          <w:szCs w:val="36"/>
        </w:rPr>
        <w:t>Aging Potential:</w:t>
      </w:r>
      <w:r w:rsidRPr="00435E1D">
        <w:rPr>
          <w:rFonts w:ascii="Times New Roman" w:hAnsi="Times New Roman" w:cs="Times New Roman"/>
          <w:sz w:val="36"/>
          <w:szCs w:val="36"/>
        </w:rPr>
        <w:t xml:space="preserve"> 2–6 years</w:t>
      </w:r>
    </w:p>
    <w:p w14:paraId="2DEA904E" w14:textId="77777777" w:rsidR="00435E1D" w:rsidRPr="00435E1D" w:rsidRDefault="00435E1D" w:rsidP="00435E1D">
      <w:pPr>
        <w:numPr>
          <w:ilvl w:val="1"/>
          <w:numId w:val="20"/>
        </w:numPr>
        <w:rPr>
          <w:rFonts w:ascii="Times New Roman" w:hAnsi="Times New Roman" w:cs="Times New Roman"/>
          <w:sz w:val="36"/>
          <w:szCs w:val="36"/>
        </w:rPr>
      </w:pPr>
      <w:r w:rsidRPr="00435E1D">
        <w:rPr>
          <w:rFonts w:ascii="Times New Roman" w:hAnsi="Times New Roman" w:cs="Times New Roman"/>
          <w:i/>
          <w:iCs/>
          <w:sz w:val="36"/>
          <w:szCs w:val="36"/>
        </w:rPr>
        <w:t>Alcohol Content:</w:t>
      </w:r>
      <w:r w:rsidRPr="00435E1D">
        <w:rPr>
          <w:rFonts w:ascii="Times New Roman" w:hAnsi="Times New Roman" w:cs="Times New Roman"/>
          <w:sz w:val="36"/>
          <w:szCs w:val="36"/>
        </w:rPr>
        <w:t xml:space="preserve"> 11.5–13% ABV</w:t>
      </w:r>
    </w:p>
    <w:p w14:paraId="1AAEC0C7" w14:textId="77777777" w:rsidR="00435E1D" w:rsidRPr="00435E1D" w:rsidRDefault="00435E1D" w:rsidP="00435E1D">
      <w:pPr>
        <w:numPr>
          <w:ilvl w:val="1"/>
          <w:numId w:val="20"/>
        </w:numPr>
        <w:rPr>
          <w:rFonts w:ascii="Times New Roman" w:hAnsi="Times New Roman" w:cs="Times New Roman"/>
          <w:sz w:val="36"/>
          <w:szCs w:val="36"/>
        </w:rPr>
      </w:pPr>
      <w:r w:rsidRPr="00435E1D">
        <w:rPr>
          <w:rFonts w:ascii="Times New Roman" w:hAnsi="Times New Roman" w:cs="Times New Roman"/>
          <w:i/>
          <w:iCs/>
          <w:sz w:val="36"/>
          <w:szCs w:val="36"/>
        </w:rPr>
        <w:t>Organoleptic Profile:</w:t>
      </w:r>
      <w:r w:rsidRPr="00435E1D">
        <w:rPr>
          <w:rFonts w:ascii="Times New Roman" w:hAnsi="Times New Roman" w:cs="Times New Roman"/>
          <w:sz w:val="36"/>
          <w:szCs w:val="36"/>
        </w:rPr>
        <w:t xml:space="preserve"> Fine bubbles, crisp acidity, green apple, brioche, floral (Wine Spectator, 2024).</w:t>
      </w:r>
    </w:p>
    <w:p w14:paraId="3D264DDD" w14:textId="77777777" w:rsidR="00435E1D" w:rsidRPr="00032E42" w:rsidRDefault="00435E1D" w:rsidP="00435E1D">
      <w:pPr>
        <w:rPr>
          <w:rFonts w:ascii="Times New Roman" w:hAnsi="Times New Roman" w:cs="Times New Roman"/>
          <w:b/>
          <w:bCs/>
          <w:sz w:val="36"/>
          <w:szCs w:val="36"/>
        </w:rPr>
      </w:pPr>
      <w:r w:rsidRPr="00032E42">
        <w:rPr>
          <w:rFonts w:ascii="Times New Roman" w:hAnsi="Times New Roman" w:cs="Times New Roman"/>
          <w:b/>
          <w:bCs/>
          <w:sz w:val="36"/>
          <w:szCs w:val="36"/>
        </w:rPr>
        <w:t>Additional Context</w:t>
      </w:r>
    </w:p>
    <w:p w14:paraId="0185DA46" w14:textId="77777777" w:rsidR="00435E1D" w:rsidRPr="00435E1D" w:rsidRDefault="00435E1D" w:rsidP="00435E1D">
      <w:pPr>
        <w:numPr>
          <w:ilvl w:val="0"/>
          <w:numId w:val="21"/>
        </w:numPr>
        <w:rPr>
          <w:rFonts w:ascii="Times New Roman" w:hAnsi="Times New Roman" w:cs="Times New Roman"/>
          <w:sz w:val="36"/>
          <w:szCs w:val="36"/>
        </w:rPr>
      </w:pPr>
      <w:r w:rsidRPr="00435E1D">
        <w:rPr>
          <w:rFonts w:ascii="Times New Roman" w:hAnsi="Times New Roman" w:cs="Times New Roman"/>
          <w:sz w:val="36"/>
          <w:szCs w:val="36"/>
        </w:rPr>
        <w:t>Historical Background: Alsace’s winemaking history dates back to Roman times. The region has alternated between French and German control, influencing its viticultural identity (Jancis Robinson, 2022).</w:t>
      </w:r>
    </w:p>
    <w:p w14:paraId="071371BF" w14:textId="77777777" w:rsidR="00435E1D" w:rsidRPr="00435E1D" w:rsidRDefault="00435E1D" w:rsidP="00435E1D">
      <w:pPr>
        <w:numPr>
          <w:ilvl w:val="0"/>
          <w:numId w:val="21"/>
        </w:numPr>
        <w:rPr>
          <w:rFonts w:ascii="Times New Roman" w:hAnsi="Times New Roman" w:cs="Times New Roman"/>
          <w:sz w:val="36"/>
          <w:szCs w:val="36"/>
        </w:rPr>
      </w:pPr>
      <w:r w:rsidRPr="00435E1D">
        <w:rPr>
          <w:rFonts w:ascii="Times New Roman" w:hAnsi="Times New Roman" w:cs="Times New Roman"/>
          <w:sz w:val="36"/>
          <w:szCs w:val="36"/>
        </w:rPr>
        <w:t>Recent Developments: Increasing organic and biodynamic practices among top producers (Decanter, 2023).</w:t>
      </w:r>
    </w:p>
    <w:p w14:paraId="0FFF565A" w14:textId="77777777" w:rsidR="00435E1D" w:rsidRPr="00435E1D" w:rsidRDefault="00435E1D" w:rsidP="00435E1D">
      <w:pPr>
        <w:numPr>
          <w:ilvl w:val="0"/>
          <w:numId w:val="21"/>
        </w:numPr>
        <w:rPr>
          <w:rFonts w:ascii="Times New Roman" w:hAnsi="Times New Roman" w:cs="Times New Roman"/>
          <w:sz w:val="36"/>
          <w:szCs w:val="36"/>
        </w:rPr>
      </w:pPr>
      <w:r w:rsidRPr="00435E1D">
        <w:rPr>
          <w:rFonts w:ascii="Times New Roman" w:hAnsi="Times New Roman" w:cs="Times New Roman"/>
          <w:sz w:val="36"/>
          <w:szCs w:val="36"/>
        </w:rPr>
        <w:t xml:space="preserve">Food Pairings: Riesling pairs with seafood and white meats, Gewürztraminer complements spicy cuisine and foie gras, while Crémant </w:t>
      </w:r>
      <w:proofErr w:type="spellStart"/>
      <w:r w:rsidRPr="00435E1D">
        <w:rPr>
          <w:rFonts w:ascii="Times New Roman" w:hAnsi="Times New Roman" w:cs="Times New Roman"/>
          <w:sz w:val="36"/>
          <w:szCs w:val="36"/>
        </w:rPr>
        <w:t>d’Alsace</w:t>
      </w:r>
      <w:proofErr w:type="spellEnd"/>
      <w:r w:rsidRPr="00435E1D">
        <w:rPr>
          <w:rFonts w:ascii="Times New Roman" w:hAnsi="Times New Roman" w:cs="Times New Roman"/>
          <w:sz w:val="36"/>
          <w:szCs w:val="36"/>
        </w:rPr>
        <w:t xml:space="preserve"> is a versatile aperitif (Wine Enthusiast, 2024).</w:t>
      </w:r>
    </w:p>
    <w:p w14:paraId="51A06EE2" w14:textId="140AAACD" w:rsidR="00435E1D" w:rsidRPr="00032E42" w:rsidRDefault="00435E1D" w:rsidP="00435E1D">
      <w:pPr>
        <w:rPr>
          <w:rFonts w:ascii="Times New Roman" w:hAnsi="Times New Roman" w:cs="Times New Roman"/>
          <w:b/>
          <w:bCs/>
          <w:sz w:val="36"/>
          <w:szCs w:val="36"/>
        </w:rPr>
      </w:pPr>
      <w:r w:rsidRPr="00032E42">
        <w:rPr>
          <w:rFonts w:ascii="Times New Roman" w:hAnsi="Times New Roman" w:cs="Times New Roman"/>
          <w:b/>
          <w:bCs/>
          <w:sz w:val="36"/>
          <w:szCs w:val="36"/>
        </w:rPr>
        <w:t>Notable Producers</w:t>
      </w:r>
      <w:r w:rsidR="009657FB" w:rsidRPr="009657FB">
        <w:t xml:space="preserve"> </w:t>
      </w:r>
    </w:p>
    <w:p w14:paraId="12CAAE6E" w14:textId="784748C5" w:rsidR="00435E1D" w:rsidRDefault="009657FB" w:rsidP="00435E1D">
      <w:pPr>
        <w:numPr>
          <w:ilvl w:val="0"/>
          <w:numId w:val="22"/>
        </w:numPr>
        <w:rPr>
          <w:rFonts w:ascii="Times New Roman" w:hAnsi="Times New Roman" w:cs="Times New Roman"/>
          <w:sz w:val="36"/>
          <w:szCs w:val="36"/>
        </w:rPr>
      </w:pPr>
      <w:r>
        <w:rPr>
          <w:noProof/>
        </w:rPr>
        <w:lastRenderedPageBreak/>
        <w:drawing>
          <wp:anchor distT="0" distB="0" distL="114300" distR="114300" simplePos="0" relativeHeight="251662336" behindDoc="0" locked="0" layoutInCell="1" allowOverlap="1" wp14:anchorId="4517C303" wp14:editId="61BFA6A6">
            <wp:simplePos x="0" y="0"/>
            <wp:positionH relativeFrom="margin">
              <wp:align>left</wp:align>
            </wp:positionH>
            <wp:positionV relativeFrom="paragraph">
              <wp:posOffset>13335</wp:posOffset>
            </wp:positionV>
            <wp:extent cx="3869690" cy="2057400"/>
            <wp:effectExtent l="0" t="0" r="0" b="0"/>
            <wp:wrapSquare wrapText="bothSides"/>
            <wp:docPr id="1999929403" name="Picture 6" descr="Dégustation des vins du Domaine Zind-Humbrecht - Terra Homin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égustation des vins du Domaine Zind-Humbrecht - Terra Homini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69690" cy="2057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35E1D" w:rsidRPr="00435E1D">
        <w:rPr>
          <w:rFonts w:ascii="Times New Roman" w:hAnsi="Times New Roman" w:cs="Times New Roman"/>
          <w:i/>
          <w:iCs/>
          <w:sz w:val="36"/>
          <w:szCs w:val="36"/>
        </w:rPr>
        <w:t>Domaine Zind-Humbrecht</w:t>
      </w:r>
      <w:r w:rsidR="00435E1D" w:rsidRPr="00435E1D">
        <w:rPr>
          <w:rFonts w:ascii="Times New Roman" w:hAnsi="Times New Roman" w:cs="Times New Roman"/>
          <w:sz w:val="36"/>
          <w:szCs w:val="36"/>
        </w:rPr>
        <w:t xml:space="preserve"> – A leader in biodynamic viticulture, producing intense, age-worthy wines.</w:t>
      </w:r>
    </w:p>
    <w:p w14:paraId="77AC7FB4" w14:textId="77777777" w:rsidR="009657FB" w:rsidRPr="00435E1D" w:rsidRDefault="009657FB" w:rsidP="00435E1D">
      <w:pPr>
        <w:numPr>
          <w:ilvl w:val="0"/>
          <w:numId w:val="22"/>
        </w:numPr>
        <w:rPr>
          <w:rFonts w:ascii="Times New Roman" w:hAnsi="Times New Roman" w:cs="Times New Roman"/>
          <w:sz w:val="36"/>
          <w:szCs w:val="36"/>
        </w:rPr>
      </w:pPr>
    </w:p>
    <w:p w14:paraId="04927759" w14:textId="77777777" w:rsidR="00435E1D" w:rsidRPr="00435E1D" w:rsidRDefault="00435E1D" w:rsidP="00435E1D">
      <w:pPr>
        <w:numPr>
          <w:ilvl w:val="0"/>
          <w:numId w:val="22"/>
        </w:numPr>
        <w:rPr>
          <w:rFonts w:ascii="Times New Roman" w:hAnsi="Times New Roman" w:cs="Times New Roman"/>
          <w:sz w:val="36"/>
          <w:szCs w:val="36"/>
        </w:rPr>
      </w:pPr>
      <w:r w:rsidRPr="00435E1D">
        <w:rPr>
          <w:rFonts w:ascii="Times New Roman" w:hAnsi="Times New Roman" w:cs="Times New Roman"/>
          <w:i/>
          <w:iCs/>
          <w:sz w:val="36"/>
          <w:szCs w:val="36"/>
        </w:rPr>
        <w:t>Trimbach</w:t>
      </w:r>
      <w:r w:rsidRPr="00435E1D">
        <w:rPr>
          <w:rFonts w:ascii="Times New Roman" w:hAnsi="Times New Roman" w:cs="Times New Roman"/>
          <w:sz w:val="36"/>
          <w:szCs w:val="36"/>
        </w:rPr>
        <w:t xml:space="preserve"> – Famous for dry, structured Rieslings with exceptional longevity.</w:t>
      </w:r>
    </w:p>
    <w:p w14:paraId="01F94C74" w14:textId="77777777" w:rsidR="00435E1D" w:rsidRPr="00435E1D" w:rsidRDefault="00435E1D" w:rsidP="00435E1D">
      <w:pPr>
        <w:numPr>
          <w:ilvl w:val="0"/>
          <w:numId w:val="22"/>
        </w:numPr>
        <w:rPr>
          <w:rFonts w:ascii="Times New Roman" w:hAnsi="Times New Roman" w:cs="Times New Roman"/>
          <w:sz w:val="36"/>
          <w:szCs w:val="36"/>
        </w:rPr>
      </w:pPr>
      <w:r w:rsidRPr="00435E1D">
        <w:rPr>
          <w:rFonts w:ascii="Times New Roman" w:hAnsi="Times New Roman" w:cs="Times New Roman"/>
          <w:i/>
          <w:iCs/>
          <w:sz w:val="36"/>
          <w:szCs w:val="36"/>
        </w:rPr>
        <w:t>Domaine Weinbach</w:t>
      </w:r>
      <w:r w:rsidRPr="00435E1D">
        <w:rPr>
          <w:rFonts w:ascii="Times New Roman" w:hAnsi="Times New Roman" w:cs="Times New Roman"/>
          <w:sz w:val="36"/>
          <w:szCs w:val="36"/>
        </w:rPr>
        <w:t xml:space="preserve"> – Specializing in Grand Cru Riesling and Gewürztraminer.</w:t>
      </w:r>
    </w:p>
    <w:p w14:paraId="53F6BDAE" w14:textId="77777777" w:rsidR="00435E1D" w:rsidRPr="00435E1D" w:rsidRDefault="00435E1D" w:rsidP="00435E1D">
      <w:pPr>
        <w:numPr>
          <w:ilvl w:val="0"/>
          <w:numId w:val="22"/>
        </w:numPr>
        <w:rPr>
          <w:rFonts w:ascii="Times New Roman" w:hAnsi="Times New Roman" w:cs="Times New Roman"/>
          <w:sz w:val="36"/>
          <w:szCs w:val="36"/>
        </w:rPr>
      </w:pPr>
      <w:r w:rsidRPr="00435E1D">
        <w:rPr>
          <w:rFonts w:ascii="Times New Roman" w:hAnsi="Times New Roman" w:cs="Times New Roman"/>
          <w:i/>
          <w:iCs/>
          <w:sz w:val="36"/>
          <w:szCs w:val="36"/>
        </w:rPr>
        <w:t>Hugel &amp; Fils</w:t>
      </w:r>
      <w:r w:rsidRPr="00435E1D">
        <w:rPr>
          <w:rFonts w:ascii="Times New Roman" w:hAnsi="Times New Roman" w:cs="Times New Roman"/>
          <w:sz w:val="36"/>
          <w:szCs w:val="36"/>
        </w:rPr>
        <w:t xml:space="preserve"> – Producing traditional and noble sweet wines with exceptional balance.</w:t>
      </w:r>
    </w:p>
    <w:p w14:paraId="3BD79740" w14:textId="77777777" w:rsidR="00435E1D" w:rsidRPr="00032E42" w:rsidRDefault="00435E1D" w:rsidP="00435E1D">
      <w:pPr>
        <w:rPr>
          <w:rFonts w:ascii="Times New Roman" w:hAnsi="Times New Roman" w:cs="Times New Roman"/>
          <w:b/>
          <w:bCs/>
          <w:sz w:val="36"/>
          <w:szCs w:val="36"/>
        </w:rPr>
      </w:pPr>
      <w:r w:rsidRPr="00032E42">
        <w:rPr>
          <w:rFonts w:ascii="Times New Roman" w:hAnsi="Times New Roman" w:cs="Times New Roman"/>
          <w:b/>
          <w:bCs/>
          <w:sz w:val="36"/>
          <w:szCs w:val="36"/>
        </w:rPr>
        <w:t>Take-Away for Sommeliers</w:t>
      </w:r>
    </w:p>
    <w:p w14:paraId="2B7821F0" w14:textId="77777777" w:rsidR="009657FB" w:rsidRDefault="00435E1D" w:rsidP="00435E1D">
      <w:pPr>
        <w:rPr>
          <w:rFonts w:ascii="Times New Roman" w:hAnsi="Times New Roman" w:cs="Times New Roman"/>
          <w:sz w:val="36"/>
          <w:szCs w:val="36"/>
        </w:rPr>
      </w:pPr>
      <w:r w:rsidRPr="00435E1D">
        <w:rPr>
          <w:rFonts w:ascii="Times New Roman" w:hAnsi="Times New Roman" w:cs="Times New Roman"/>
          <w:sz w:val="36"/>
          <w:szCs w:val="36"/>
        </w:rPr>
        <w:t xml:space="preserve">Alsace offers a unique perspective for sommeliers due to its balance between </w:t>
      </w:r>
      <w:r>
        <w:rPr>
          <w:rFonts w:ascii="Times New Roman" w:hAnsi="Times New Roman" w:cs="Times New Roman"/>
          <w:sz w:val="36"/>
          <w:szCs w:val="36"/>
        </w:rPr>
        <w:t xml:space="preserve">Old-World </w:t>
      </w:r>
      <w:r w:rsidRPr="00435E1D">
        <w:rPr>
          <w:rFonts w:ascii="Times New Roman" w:hAnsi="Times New Roman" w:cs="Times New Roman"/>
          <w:sz w:val="36"/>
          <w:szCs w:val="36"/>
        </w:rPr>
        <w:t xml:space="preserve">tradition and Germanic influence. Unlike Germany, where Riesling often retains residual sweetness, Alsace predominantly produces dry, full-bodied expressions with higher alcohol levels. </w:t>
      </w:r>
    </w:p>
    <w:p w14:paraId="58D25754" w14:textId="10691C87" w:rsidR="00435E1D" w:rsidRPr="00435E1D" w:rsidRDefault="00435E1D" w:rsidP="00435E1D">
      <w:pPr>
        <w:rPr>
          <w:rFonts w:ascii="Times New Roman" w:hAnsi="Times New Roman" w:cs="Times New Roman"/>
          <w:sz w:val="36"/>
          <w:szCs w:val="36"/>
        </w:rPr>
      </w:pPr>
      <w:r w:rsidRPr="00435E1D">
        <w:rPr>
          <w:rFonts w:ascii="Times New Roman" w:hAnsi="Times New Roman" w:cs="Times New Roman"/>
          <w:sz w:val="36"/>
          <w:szCs w:val="36"/>
        </w:rPr>
        <w:t xml:space="preserve">The region’s strict Grand Cru system, diverse microclimates, and emphasis on single-varietal wines provide an excellent study in terroir-driven winemaking. Mastering Alsace’s classifications and understanding its influence on food pairings can enhance a </w:t>
      </w:r>
      <w:r w:rsidRPr="00435E1D">
        <w:rPr>
          <w:rFonts w:ascii="Times New Roman" w:hAnsi="Times New Roman" w:cs="Times New Roman"/>
          <w:sz w:val="36"/>
          <w:szCs w:val="36"/>
        </w:rPr>
        <w:lastRenderedPageBreak/>
        <w:t>sommelier’s ability to guide wine selections with precision and confidence (Wine-Searcher, 2024).</w:t>
      </w:r>
    </w:p>
    <w:p w14:paraId="186D0CA2" w14:textId="77777777" w:rsidR="00435E1D" w:rsidRPr="00435E1D" w:rsidRDefault="00435E1D" w:rsidP="00435E1D">
      <w:pPr>
        <w:rPr>
          <w:rFonts w:ascii="Times New Roman" w:hAnsi="Times New Roman" w:cs="Times New Roman"/>
          <w:sz w:val="36"/>
          <w:szCs w:val="36"/>
        </w:rPr>
      </w:pPr>
      <w:r w:rsidRPr="00435E1D">
        <w:rPr>
          <w:rFonts w:ascii="Times New Roman" w:hAnsi="Times New Roman" w:cs="Times New Roman"/>
          <w:sz w:val="36"/>
          <w:szCs w:val="36"/>
        </w:rPr>
        <w:t>Alsace is an essential region for sommeliers due to its diverse terroir-driven white wines. The emphasis on varietal purity, minimal intervention, and the AOC Grand Cru system provides a benchmark for understanding aromatic white wines. Sommeliers should focus on the distinctions between soil types, the influence of the Vosges Mountains, and the balance of acidity and residual sugar in various styles (Wine-Searcher, 2024).</w:t>
      </w:r>
    </w:p>
    <w:p w14:paraId="2A8A5189" w14:textId="77777777" w:rsidR="00435E1D" w:rsidRPr="00032E42" w:rsidRDefault="00435E1D" w:rsidP="00435E1D">
      <w:pPr>
        <w:rPr>
          <w:rFonts w:ascii="Times New Roman" w:hAnsi="Times New Roman" w:cs="Times New Roman"/>
          <w:b/>
          <w:bCs/>
          <w:sz w:val="36"/>
          <w:szCs w:val="36"/>
        </w:rPr>
      </w:pPr>
      <w:r w:rsidRPr="00032E42">
        <w:rPr>
          <w:rFonts w:ascii="Times New Roman" w:hAnsi="Times New Roman" w:cs="Times New Roman"/>
          <w:b/>
          <w:bCs/>
          <w:sz w:val="36"/>
          <w:szCs w:val="36"/>
        </w:rPr>
        <w:t>References</w:t>
      </w:r>
    </w:p>
    <w:p w14:paraId="1766AE78" w14:textId="77777777" w:rsidR="00435E1D" w:rsidRPr="00435E1D" w:rsidRDefault="00435E1D" w:rsidP="00435E1D">
      <w:pPr>
        <w:numPr>
          <w:ilvl w:val="0"/>
          <w:numId w:val="23"/>
        </w:numPr>
        <w:rPr>
          <w:rFonts w:ascii="Times New Roman" w:hAnsi="Times New Roman" w:cs="Times New Roman"/>
          <w:sz w:val="36"/>
          <w:szCs w:val="36"/>
        </w:rPr>
      </w:pPr>
      <w:r w:rsidRPr="00435E1D">
        <w:rPr>
          <w:rFonts w:ascii="Times New Roman" w:hAnsi="Times New Roman" w:cs="Times New Roman"/>
          <w:sz w:val="36"/>
          <w:szCs w:val="36"/>
        </w:rPr>
        <w:t xml:space="preserve">Decanter, 2023. </w:t>
      </w:r>
      <w:r w:rsidRPr="00435E1D">
        <w:rPr>
          <w:rFonts w:ascii="Times New Roman" w:hAnsi="Times New Roman" w:cs="Times New Roman"/>
          <w:i/>
          <w:iCs/>
          <w:sz w:val="36"/>
          <w:szCs w:val="36"/>
        </w:rPr>
        <w:t>Alsace Wine Guide: History and Evolution.</w:t>
      </w:r>
    </w:p>
    <w:p w14:paraId="593FDFD3" w14:textId="77777777" w:rsidR="00435E1D" w:rsidRPr="00435E1D" w:rsidRDefault="00435E1D" w:rsidP="00435E1D">
      <w:pPr>
        <w:numPr>
          <w:ilvl w:val="0"/>
          <w:numId w:val="23"/>
        </w:numPr>
        <w:rPr>
          <w:rFonts w:ascii="Times New Roman" w:hAnsi="Times New Roman" w:cs="Times New Roman"/>
          <w:sz w:val="36"/>
          <w:szCs w:val="36"/>
        </w:rPr>
      </w:pPr>
      <w:r w:rsidRPr="00435E1D">
        <w:rPr>
          <w:rFonts w:ascii="Times New Roman" w:hAnsi="Times New Roman" w:cs="Times New Roman"/>
          <w:sz w:val="36"/>
          <w:szCs w:val="36"/>
        </w:rPr>
        <w:t xml:space="preserve">INAO, 2024. </w:t>
      </w:r>
      <w:r w:rsidRPr="00435E1D">
        <w:rPr>
          <w:rFonts w:ascii="Times New Roman" w:hAnsi="Times New Roman" w:cs="Times New Roman"/>
          <w:i/>
          <w:iCs/>
          <w:sz w:val="36"/>
          <w:szCs w:val="36"/>
        </w:rPr>
        <w:t>French Wine Appellations and Classification.</w:t>
      </w:r>
    </w:p>
    <w:p w14:paraId="027A7E45" w14:textId="77777777" w:rsidR="00435E1D" w:rsidRPr="00435E1D" w:rsidRDefault="00435E1D" w:rsidP="00435E1D">
      <w:pPr>
        <w:numPr>
          <w:ilvl w:val="0"/>
          <w:numId w:val="23"/>
        </w:numPr>
        <w:rPr>
          <w:rFonts w:ascii="Times New Roman" w:hAnsi="Times New Roman" w:cs="Times New Roman"/>
          <w:sz w:val="36"/>
          <w:szCs w:val="36"/>
        </w:rPr>
      </w:pPr>
      <w:r w:rsidRPr="00435E1D">
        <w:rPr>
          <w:rFonts w:ascii="Times New Roman" w:hAnsi="Times New Roman" w:cs="Times New Roman"/>
          <w:sz w:val="36"/>
          <w:szCs w:val="36"/>
        </w:rPr>
        <w:t xml:space="preserve">Jancis Robinson, 2022. </w:t>
      </w:r>
      <w:r w:rsidRPr="00435E1D">
        <w:rPr>
          <w:rFonts w:ascii="Times New Roman" w:hAnsi="Times New Roman" w:cs="Times New Roman"/>
          <w:i/>
          <w:iCs/>
          <w:sz w:val="36"/>
          <w:szCs w:val="36"/>
        </w:rPr>
        <w:t>The Oxford Companion to Wine.</w:t>
      </w:r>
    </w:p>
    <w:p w14:paraId="304ABDA9" w14:textId="77777777" w:rsidR="00435E1D" w:rsidRPr="00435E1D" w:rsidRDefault="00435E1D" w:rsidP="00435E1D">
      <w:pPr>
        <w:numPr>
          <w:ilvl w:val="0"/>
          <w:numId w:val="23"/>
        </w:numPr>
        <w:rPr>
          <w:rFonts w:ascii="Times New Roman" w:hAnsi="Times New Roman" w:cs="Times New Roman"/>
          <w:sz w:val="36"/>
          <w:szCs w:val="36"/>
        </w:rPr>
      </w:pPr>
      <w:r w:rsidRPr="00435E1D">
        <w:rPr>
          <w:rFonts w:ascii="Times New Roman" w:hAnsi="Times New Roman" w:cs="Times New Roman"/>
          <w:sz w:val="36"/>
          <w:szCs w:val="36"/>
        </w:rPr>
        <w:t xml:space="preserve">Wine Enthusiast, 2024. </w:t>
      </w:r>
      <w:r w:rsidRPr="00435E1D">
        <w:rPr>
          <w:rFonts w:ascii="Times New Roman" w:hAnsi="Times New Roman" w:cs="Times New Roman"/>
          <w:i/>
          <w:iCs/>
          <w:sz w:val="36"/>
          <w:szCs w:val="36"/>
        </w:rPr>
        <w:t>The Best Wines of Alsace: A Buyer’s Guide.</w:t>
      </w:r>
    </w:p>
    <w:p w14:paraId="3E5AD6C3" w14:textId="77777777" w:rsidR="00435E1D" w:rsidRPr="00435E1D" w:rsidRDefault="00435E1D" w:rsidP="00435E1D">
      <w:pPr>
        <w:numPr>
          <w:ilvl w:val="0"/>
          <w:numId w:val="23"/>
        </w:numPr>
        <w:rPr>
          <w:rFonts w:ascii="Times New Roman" w:hAnsi="Times New Roman" w:cs="Times New Roman"/>
          <w:sz w:val="36"/>
          <w:szCs w:val="36"/>
        </w:rPr>
      </w:pPr>
      <w:r w:rsidRPr="00435E1D">
        <w:rPr>
          <w:rFonts w:ascii="Times New Roman" w:hAnsi="Times New Roman" w:cs="Times New Roman"/>
          <w:sz w:val="36"/>
          <w:szCs w:val="36"/>
        </w:rPr>
        <w:t xml:space="preserve">Wine-Searcher, 2024. </w:t>
      </w:r>
      <w:r w:rsidRPr="00435E1D">
        <w:rPr>
          <w:rFonts w:ascii="Times New Roman" w:hAnsi="Times New Roman" w:cs="Times New Roman"/>
          <w:i/>
          <w:iCs/>
          <w:sz w:val="36"/>
          <w:szCs w:val="36"/>
        </w:rPr>
        <w:t>Trends in Alsace Wine Exports.</w:t>
      </w:r>
    </w:p>
    <w:p w14:paraId="6596371B" w14:textId="4F2EEFB7" w:rsidR="00DD178F" w:rsidRPr="00032E42" w:rsidRDefault="00435E1D" w:rsidP="00435E1D">
      <w:pPr>
        <w:numPr>
          <w:ilvl w:val="0"/>
          <w:numId w:val="23"/>
        </w:numPr>
        <w:rPr>
          <w:rFonts w:ascii="Times New Roman" w:hAnsi="Times New Roman" w:cs="Times New Roman"/>
          <w:sz w:val="36"/>
          <w:szCs w:val="36"/>
        </w:rPr>
      </w:pPr>
      <w:r w:rsidRPr="00435E1D">
        <w:rPr>
          <w:rFonts w:ascii="Times New Roman" w:hAnsi="Times New Roman" w:cs="Times New Roman"/>
          <w:sz w:val="36"/>
          <w:szCs w:val="36"/>
        </w:rPr>
        <w:t xml:space="preserve">Loire Valley Wines, 2023. </w:t>
      </w:r>
      <w:r w:rsidRPr="00435E1D">
        <w:rPr>
          <w:rFonts w:ascii="Times New Roman" w:hAnsi="Times New Roman" w:cs="Times New Roman"/>
          <w:i/>
          <w:iCs/>
          <w:sz w:val="36"/>
          <w:szCs w:val="36"/>
        </w:rPr>
        <w:t>Alsace Terroir and Varietals.</w:t>
      </w:r>
    </w:p>
    <w:sectPr w:rsidR="00DD178F" w:rsidRPr="00032E4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089C85" w14:textId="77777777" w:rsidR="00824B1B" w:rsidRDefault="00824B1B" w:rsidP="00572A27">
      <w:pPr>
        <w:spacing w:after="0" w:line="240" w:lineRule="auto"/>
      </w:pPr>
      <w:r>
        <w:separator/>
      </w:r>
    </w:p>
  </w:endnote>
  <w:endnote w:type="continuationSeparator" w:id="0">
    <w:p w14:paraId="1FB5D983" w14:textId="77777777" w:rsidR="00824B1B" w:rsidRDefault="00824B1B" w:rsidP="00572A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DC7CB0" w14:textId="77777777" w:rsidR="00824B1B" w:rsidRDefault="00824B1B" w:rsidP="00572A27">
      <w:pPr>
        <w:spacing w:after="0" w:line="240" w:lineRule="auto"/>
      </w:pPr>
      <w:r>
        <w:separator/>
      </w:r>
    </w:p>
  </w:footnote>
  <w:footnote w:type="continuationSeparator" w:id="0">
    <w:p w14:paraId="190094BA" w14:textId="77777777" w:rsidR="00824B1B" w:rsidRDefault="00824B1B" w:rsidP="00572A2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F330D3"/>
    <w:multiLevelType w:val="multilevel"/>
    <w:tmpl w:val="9E1AB1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03D15D8"/>
    <w:multiLevelType w:val="hybridMultilevel"/>
    <w:tmpl w:val="D66C6FB2"/>
    <w:lvl w:ilvl="0" w:tplc="04090001">
      <w:start w:val="1"/>
      <w:numFmt w:val="bullet"/>
      <w:lvlText w:val=""/>
      <w:lvlJc w:val="left"/>
      <w:pPr>
        <w:ind w:left="1080" w:hanging="360"/>
      </w:pPr>
      <w:rPr>
        <w:rFonts w:ascii="Symbol" w:hAnsi="Symbol" w:hint="default"/>
      </w:rPr>
    </w:lvl>
    <w:lvl w:ilvl="1" w:tplc="484E5502">
      <w:start w:val="5"/>
      <w:numFmt w:val="bullet"/>
      <w:lvlText w:val="•"/>
      <w:lvlJc w:val="left"/>
      <w:pPr>
        <w:ind w:left="1800" w:hanging="360"/>
      </w:pPr>
      <w:rPr>
        <w:rFonts w:ascii="Times New Roman" w:eastAsiaTheme="minorHAnsi" w:hAnsi="Times New Roman" w:cs="Times New Roman" w:hint="default"/>
      </w:rPr>
    </w:lvl>
    <w:lvl w:ilvl="2" w:tplc="7B2CD578">
      <w:start w:val="5"/>
      <w:numFmt w:val="bullet"/>
      <w:lvlText w:val="-"/>
      <w:lvlJc w:val="left"/>
      <w:pPr>
        <w:ind w:left="2520" w:hanging="360"/>
      </w:pPr>
      <w:rPr>
        <w:rFonts w:ascii="Times New Roman" w:eastAsiaTheme="minorHAnsi" w:hAnsi="Times New Roman" w:cs="Times New Roman"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18B40EB"/>
    <w:multiLevelType w:val="multilevel"/>
    <w:tmpl w:val="63A053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58132F2"/>
    <w:multiLevelType w:val="hybridMultilevel"/>
    <w:tmpl w:val="8B581938"/>
    <w:lvl w:ilvl="0" w:tplc="0409000F">
      <w:start w:val="1"/>
      <w:numFmt w:val="decimal"/>
      <w:lvlText w:val="%1."/>
      <w:lvlJc w:val="left"/>
      <w:pPr>
        <w:ind w:left="900" w:hanging="360"/>
      </w:pPr>
    </w:lvl>
    <w:lvl w:ilvl="1" w:tplc="A274E39C">
      <w:numFmt w:val="bullet"/>
      <w:lvlText w:val="-"/>
      <w:lvlJc w:val="left"/>
      <w:pPr>
        <w:ind w:left="1440" w:hanging="360"/>
      </w:pPr>
      <w:rPr>
        <w:rFonts w:ascii="Times New Roman" w:eastAsiaTheme="minorHAnsi" w:hAnsi="Times New Roman" w:cs="Times New Roman" w:hint="default"/>
      </w:rPr>
    </w:lvl>
    <w:lvl w:ilvl="2" w:tplc="5324EF92">
      <w:start w:val="18"/>
      <w:numFmt w:val="bullet"/>
      <w:lvlText w:val="•"/>
      <w:lvlJc w:val="left"/>
      <w:pPr>
        <w:ind w:left="2340" w:hanging="360"/>
      </w:pPr>
      <w:rPr>
        <w:rFonts w:ascii="Times New Roman" w:eastAsiaTheme="minorHAnsi" w:hAnsi="Times New Roman" w:cs="Times New Roman" w:hint="default"/>
      </w:rPr>
    </w:lvl>
    <w:lvl w:ilvl="3" w:tplc="5420C622">
      <w:start w:val="18"/>
      <w:numFmt w:val="bullet"/>
      <w:lvlText w:val=""/>
      <w:lvlJc w:val="left"/>
      <w:pPr>
        <w:ind w:left="2880" w:hanging="360"/>
      </w:pPr>
      <w:rPr>
        <w:rFonts w:ascii="Symbol" w:eastAsiaTheme="minorHAnsi" w:hAnsi="Symbol" w:cs="Times New Roman" w:hint="default"/>
      </w:rPr>
    </w:lvl>
    <w:lvl w:ilvl="4" w:tplc="E4CE3352">
      <w:start w:val="18"/>
      <w:numFmt w:val="bullet"/>
      <w:lvlText w:val=""/>
      <w:lvlJc w:val="left"/>
      <w:pPr>
        <w:ind w:left="3600" w:hanging="360"/>
      </w:pPr>
      <w:rPr>
        <w:rFonts w:ascii="Wingdings" w:eastAsiaTheme="minorHAnsi" w:hAnsi="Wingdings" w:cs="Times New Roman"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77D5CEC"/>
    <w:multiLevelType w:val="multilevel"/>
    <w:tmpl w:val="0FAEF4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FF074CA"/>
    <w:multiLevelType w:val="hybridMultilevel"/>
    <w:tmpl w:val="797638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2BD6884"/>
    <w:multiLevelType w:val="hybridMultilevel"/>
    <w:tmpl w:val="71462CAC"/>
    <w:lvl w:ilvl="0" w:tplc="0F36DAF0">
      <w:start w:val="1"/>
      <w:numFmt w:val="upperLetter"/>
      <w:lvlText w:val="%1)"/>
      <w:lvlJc w:val="left"/>
      <w:pPr>
        <w:ind w:left="720" w:hanging="360"/>
      </w:pPr>
      <w:rPr>
        <w:rFonts w:hint="default"/>
      </w:rPr>
    </w:lvl>
    <w:lvl w:ilvl="1" w:tplc="10DACB5C">
      <w:start w:val="1"/>
      <w:numFmt w:val="bullet"/>
      <w:lvlText w:val="—"/>
      <w:lvlJc w:val="left"/>
      <w:pPr>
        <w:ind w:left="1440" w:hanging="360"/>
      </w:pPr>
      <w:rPr>
        <w:rFonts w:ascii="Times New Roman" w:eastAsiaTheme="minorHAnsi" w:hAnsi="Times New Roman"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B8B3801"/>
    <w:multiLevelType w:val="multilevel"/>
    <w:tmpl w:val="79B243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4AC5FF1"/>
    <w:multiLevelType w:val="hybridMultilevel"/>
    <w:tmpl w:val="3DDC94C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F5125900">
      <w:start w:val="4"/>
      <w:numFmt w:val="bullet"/>
      <w:lvlText w:val="•"/>
      <w:lvlJc w:val="left"/>
      <w:pPr>
        <w:ind w:left="2340" w:hanging="360"/>
      </w:pPr>
      <w:rPr>
        <w:rFonts w:ascii="Times New Roman" w:eastAsiaTheme="minorHAnsi" w:hAnsi="Times New Roman" w:cs="Times New Roman"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5096B64"/>
    <w:multiLevelType w:val="hybridMultilevel"/>
    <w:tmpl w:val="DE145040"/>
    <w:lvl w:ilvl="0" w:tplc="C8889E42">
      <w:start w:val="1"/>
      <w:numFmt w:val="bullet"/>
      <w:lvlText w:val="•"/>
      <w:lvlJc w:val="left"/>
      <w:pPr>
        <w:ind w:left="1440" w:hanging="360"/>
      </w:pPr>
      <w:rPr>
        <w:rFonts w:ascii="Arial" w:hAnsi="Arial"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0" w15:restartNumberingAfterBreak="0">
    <w:nsid w:val="3834528A"/>
    <w:multiLevelType w:val="multilevel"/>
    <w:tmpl w:val="966C20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0511BFD"/>
    <w:multiLevelType w:val="hybridMultilevel"/>
    <w:tmpl w:val="CE7889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12F6E66"/>
    <w:multiLevelType w:val="hybridMultilevel"/>
    <w:tmpl w:val="393E5F5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42545C1B"/>
    <w:multiLevelType w:val="hybridMultilevel"/>
    <w:tmpl w:val="94D8B0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74974F1"/>
    <w:multiLevelType w:val="hybridMultilevel"/>
    <w:tmpl w:val="0AAA82EE"/>
    <w:lvl w:ilvl="0" w:tplc="B4E2F63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6EA1DE0"/>
    <w:multiLevelType w:val="hybridMultilevel"/>
    <w:tmpl w:val="518A89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9B12B67"/>
    <w:multiLevelType w:val="hybridMultilevel"/>
    <w:tmpl w:val="7AA470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00E3518"/>
    <w:multiLevelType w:val="hybridMultilevel"/>
    <w:tmpl w:val="4E1608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F5C7171"/>
    <w:multiLevelType w:val="hybridMultilevel"/>
    <w:tmpl w:val="9D86BA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1A63CF2"/>
    <w:multiLevelType w:val="hybridMultilevel"/>
    <w:tmpl w:val="9EC0C09E"/>
    <w:lvl w:ilvl="0" w:tplc="4A5AEF22">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24F01DB"/>
    <w:multiLevelType w:val="hybridMultilevel"/>
    <w:tmpl w:val="B310E1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7F71C93"/>
    <w:multiLevelType w:val="multilevel"/>
    <w:tmpl w:val="F68846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ED05631"/>
    <w:multiLevelType w:val="multilevel"/>
    <w:tmpl w:val="CB6435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385370394">
    <w:abstractNumId w:val="18"/>
  </w:num>
  <w:num w:numId="2" w16cid:durableId="1550385937">
    <w:abstractNumId w:val="11"/>
  </w:num>
  <w:num w:numId="3" w16cid:durableId="476802007">
    <w:abstractNumId w:val="17"/>
  </w:num>
  <w:num w:numId="4" w16cid:durableId="1363895019">
    <w:abstractNumId w:val="5"/>
  </w:num>
  <w:num w:numId="5" w16cid:durableId="60257489">
    <w:abstractNumId w:val="15"/>
  </w:num>
  <w:num w:numId="6" w16cid:durableId="1237744281">
    <w:abstractNumId w:val="1"/>
  </w:num>
  <w:num w:numId="7" w16cid:durableId="1824546199">
    <w:abstractNumId w:val="19"/>
  </w:num>
  <w:num w:numId="8" w16cid:durableId="127817151">
    <w:abstractNumId w:val="14"/>
  </w:num>
  <w:num w:numId="9" w16cid:durableId="1740399772">
    <w:abstractNumId w:val="6"/>
  </w:num>
  <w:num w:numId="10" w16cid:durableId="1094013110">
    <w:abstractNumId w:val="3"/>
  </w:num>
  <w:num w:numId="11" w16cid:durableId="469906443">
    <w:abstractNumId w:val="8"/>
  </w:num>
  <w:num w:numId="12" w16cid:durableId="1368917306">
    <w:abstractNumId w:val="13"/>
  </w:num>
  <w:num w:numId="13" w16cid:durableId="1291396106">
    <w:abstractNumId w:val="16"/>
  </w:num>
  <w:num w:numId="14" w16cid:durableId="1286962954">
    <w:abstractNumId w:val="20"/>
  </w:num>
  <w:num w:numId="15" w16cid:durableId="1764915085">
    <w:abstractNumId w:val="12"/>
  </w:num>
  <w:num w:numId="16" w16cid:durableId="1004043288">
    <w:abstractNumId w:val="9"/>
  </w:num>
  <w:num w:numId="17" w16cid:durableId="17855672">
    <w:abstractNumId w:val="21"/>
  </w:num>
  <w:num w:numId="18" w16cid:durableId="837498503">
    <w:abstractNumId w:val="22"/>
  </w:num>
  <w:num w:numId="19" w16cid:durableId="158666796">
    <w:abstractNumId w:val="4"/>
  </w:num>
  <w:num w:numId="20" w16cid:durableId="2009793747">
    <w:abstractNumId w:val="0"/>
  </w:num>
  <w:num w:numId="21" w16cid:durableId="1965427519">
    <w:abstractNumId w:val="10"/>
  </w:num>
  <w:num w:numId="22" w16cid:durableId="978343288">
    <w:abstractNumId w:val="2"/>
  </w:num>
  <w:num w:numId="23" w16cid:durableId="168594101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2FA4"/>
    <w:rsid w:val="00003601"/>
    <w:rsid w:val="00032E42"/>
    <w:rsid w:val="00034BBD"/>
    <w:rsid w:val="001940E3"/>
    <w:rsid w:val="0020771F"/>
    <w:rsid w:val="00342FA4"/>
    <w:rsid w:val="003D4D74"/>
    <w:rsid w:val="00435E1D"/>
    <w:rsid w:val="0055076D"/>
    <w:rsid w:val="00572A27"/>
    <w:rsid w:val="005F7317"/>
    <w:rsid w:val="006453FB"/>
    <w:rsid w:val="00700278"/>
    <w:rsid w:val="00712B1C"/>
    <w:rsid w:val="0074295E"/>
    <w:rsid w:val="007C4C06"/>
    <w:rsid w:val="00824B1B"/>
    <w:rsid w:val="00834CFD"/>
    <w:rsid w:val="008436C1"/>
    <w:rsid w:val="008900B0"/>
    <w:rsid w:val="0090196D"/>
    <w:rsid w:val="009360FE"/>
    <w:rsid w:val="009657FB"/>
    <w:rsid w:val="00965ECE"/>
    <w:rsid w:val="009A43D2"/>
    <w:rsid w:val="009C1E9B"/>
    <w:rsid w:val="00A244A7"/>
    <w:rsid w:val="00A80CC2"/>
    <w:rsid w:val="00AB1BB8"/>
    <w:rsid w:val="00AC5006"/>
    <w:rsid w:val="00AF3AB5"/>
    <w:rsid w:val="00B13482"/>
    <w:rsid w:val="00BB4E29"/>
    <w:rsid w:val="00BC51BE"/>
    <w:rsid w:val="00C06339"/>
    <w:rsid w:val="00D30543"/>
    <w:rsid w:val="00D337DF"/>
    <w:rsid w:val="00D9605B"/>
    <w:rsid w:val="00DB2825"/>
    <w:rsid w:val="00DD178F"/>
    <w:rsid w:val="00E32660"/>
    <w:rsid w:val="00E60E36"/>
    <w:rsid w:val="00EC147C"/>
    <w:rsid w:val="00F0149F"/>
    <w:rsid w:val="00F50557"/>
    <w:rsid w:val="00F6749C"/>
    <w:rsid w:val="00F8017A"/>
    <w:rsid w:val="00F824A0"/>
    <w:rsid w:val="00FC60F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15D93CF"/>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B4E29"/>
  </w:style>
  <w:style w:type="paragraph" w:styleId="Heading1">
    <w:name w:val="heading 1"/>
    <w:basedOn w:val="Normal"/>
    <w:next w:val="Normal"/>
    <w:link w:val="Heading1Char"/>
    <w:uiPriority w:val="9"/>
    <w:qFormat/>
    <w:rsid w:val="00342FA4"/>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342FA4"/>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342FA4"/>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342FA4"/>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342FA4"/>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342FA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42FA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42FA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42FA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42FA4"/>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342FA4"/>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342FA4"/>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342FA4"/>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342FA4"/>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342FA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42FA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42FA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42FA4"/>
    <w:rPr>
      <w:rFonts w:eastAsiaTheme="majorEastAsia" w:cstheme="majorBidi"/>
      <w:color w:val="272727" w:themeColor="text1" w:themeTint="D8"/>
    </w:rPr>
  </w:style>
  <w:style w:type="paragraph" w:styleId="Title">
    <w:name w:val="Title"/>
    <w:basedOn w:val="Normal"/>
    <w:next w:val="Normal"/>
    <w:link w:val="TitleChar"/>
    <w:uiPriority w:val="10"/>
    <w:qFormat/>
    <w:rsid w:val="00342FA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42FA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42FA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42FA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42FA4"/>
    <w:pPr>
      <w:spacing w:before="160"/>
      <w:jc w:val="center"/>
    </w:pPr>
    <w:rPr>
      <w:i/>
      <w:iCs/>
      <w:color w:val="404040" w:themeColor="text1" w:themeTint="BF"/>
    </w:rPr>
  </w:style>
  <w:style w:type="character" w:customStyle="1" w:styleId="QuoteChar">
    <w:name w:val="Quote Char"/>
    <w:basedOn w:val="DefaultParagraphFont"/>
    <w:link w:val="Quote"/>
    <w:uiPriority w:val="29"/>
    <w:rsid w:val="00342FA4"/>
    <w:rPr>
      <w:i/>
      <w:iCs/>
      <w:color w:val="404040" w:themeColor="text1" w:themeTint="BF"/>
    </w:rPr>
  </w:style>
  <w:style w:type="paragraph" w:styleId="ListParagraph">
    <w:name w:val="List Paragraph"/>
    <w:basedOn w:val="Normal"/>
    <w:uiPriority w:val="34"/>
    <w:qFormat/>
    <w:rsid w:val="00342FA4"/>
    <w:pPr>
      <w:ind w:left="720"/>
      <w:contextualSpacing/>
    </w:pPr>
  </w:style>
  <w:style w:type="character" w:styleId="IntenseEmphasis">
    <w:name w:val="Intense Emphasis"/>
    <w:basedOn w:val="DefaultParagraphFont"/>
    <w:uiPriority w:val="21"/>
    <w:qFormat/>
    <w:rsid w:val="00342FA4"/>
    <w:rPr>
      <w:i/>
      <w:iCs/>
      <w:color w:val="2F5496" w:themeColor="accent1" w:themeShade="BF"/>
    </w:rPr>
  </w:style>
  <w:style w:type="paragraph" w:styleId="IntenseQuote">
    <w:name w:val="Intense Quote"/>
    <w:basedOn w:val="Normal"/>
    <w:next w:val="Normal"/>
    <w:link w:val="IntenseQuoteChar"/>
    <w:uiPriority w:val="30"/>
    <w:qFormat/>
    <w:rsid w:val="00342FA4"/>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342FA4"/>
    <w:rPr>
      <w:i/>
      <w:iCs/>
      <w:color w:val="2F5496" w:themeColor="accent1" w:themeShade="BF"/>
    </w:rPr>
  </w:style>
  <w:style w:type="character" w:styleId="IntenseReference">
    <w:name w:val="Intense Reference"/>
    <w:basedOn w:val="DefaultParagraphFont"/>
    <w:uiPriority w:val="32"/>
    <w:qFormat/>
    <w:rsid w:val="00342FA4"/>
    <w:rPr>
      <w:b/>
      <w:bCs/>
      <w:smallCaps/>
      <w:color w:val="2F5496" w:themeColor="accent1" w:themeShade="BF"/>
      <w:spacing w:val="5"/>
    </w:rPr>
  </w:style>
  <w:style w:type="paragraph" w:styleId="Header">
    <w:name w:val="header"/>
    <w:basedOn w:val="Normal"/>
    <w:link w:val="HeaderChar"/>
    <w:uiPriority w:val="99"/>
    <w:unhideWhenUsed/>
    <w:rsid w:val="00572A27"/>
    <w:pPr>
      <w:tabs>
        <w:tab w:val="center" w:pos="4680"/>
        <w:tab w:val="right" w:pos="9360"/>
      </w:tabs>
      <w:spacing w:after="0" w:line="240" w:lineRule="auto"/>
    </w:pPr>
  </w:style>
  <w:style w:type="character" w:customStyle="1" w:styleId="HeaderChar">
    <w:name w:val="Header Char"/>
    <w:basedOn w:val="DefaultParagraphFont"/>
    <w:link w:val="Header"/>
    <w:uiPriority w:val="99"/>
    <w:rsid w:val="00572A27"/>
  </w:style>
  <w:style w:type="paragraph" w:styleId="Footer">
    <w:name w:val="footer"/>
    <w:basedOn w:val="Normal"/>
    <w:link w:val="FooterChar"/>
    <w:uiPriority w:val="99"/>
    <w:unhideWhenUsed/>
    <w:rsid w:val="00572A27"/>
    <w:pPr>
      <w:tabs>
        <w:tab w:val="center" w:pos="4680"/>
        <w:tab w:val="right" w:pos="9360"/>
      </w:tabs>
      <w:spacing w:after="0" w:line="240" w:lineRule="auto"/>
    </w:pPr>
  </w:style>
  <w:style w:type="character" w:customStyle="1" w:styleId="FooterChar">
    <w:name w:val="Footer Char"/>
    <w:basedOn w:val="DefaultParagraphFont"/>
    <w:link w:val="Footer"/>
    <w:uiPriority w:val="99"/>
    <w:rsid w:val="00572A2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78236626">
      <w:bodyDiv w:val="1"/>
      <w:marLeft w:val="0"/>
      <w:marRight w:val="0"/>
      <w:marTop w:val="0"/>
      <w:marBottom w:val="0"/>
      <w:divBdr>
        <w:top w:val="none" w:sz="0" w:space="0" w:color="auto"/>
        <w:left w:val="none" w:sz="0" w:space="0" w:color="auto"/>
        <w:bottom w:val="none" w:sz="0" w:space="0" w:color="auto"/>
        <w:right w:val="none" w:sz="0" w:space="0" w:color="auto"/>
      </w:divBdr>
    </w:div>
    <w:div w:id="8344925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gi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10</Pages>
  <Words>1157</Words>
  <Characters>6595</Characters>
  <Application>Microsoft Office Word</Application>
  <DocSecurity>0</DocSecurity>
  <Lines>54</Lines>
  <Paragraphs>15</Paragraphs>
  <ScaleCrop>false</ScaleCrop>
  <Company/>
  <LinksUpToDate>false</LinksUpToDate>
  <CharactersWithSpaces>7737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2025-05-13T21:43:00Z</dcterms:created>
  <dcterms:modified xsi:type="dcterms:W3CDTF">2025-05-13T21:43:00Z</dcterms:modified>
</cp:coreProperties>
</file>