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12" w:rsidRPr="00152E8E" w:rsidRDefault="00B82F2F" w:rsidP="00B82F2F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EA36C7E" wp14:editId="72A1A8EA">
            <wp:extent cx="771525" cy="579120"/>
            <wp:effectExtent l="0" t="0" r="9525" b="0"/>
            <wp:docPr id="5" name="Image 5" descr="C:\Users\NATHAL~1\AppData\Local\Temp\AAA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NATHAL~1\AppData\Local\Temp\AAA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8E" w:rsidRPr="00152E8E" w:rsidRDefault="00152E8E" w:rsidP="00B82F2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Cs/>
          <w:kern w:val="36"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kern w:val="36"/>
          <w:sz w:val="24"/>
          <w:szCs w:val="24"/>
          <w:lang w:eastAsia="fr-FR"/>
        </w:rPr>
        <w:t>ALERTE HUMANITAIRE URGENTE – SUD-KIVU, RDC</w:t>
      </w:r>
    </w:p>
    <w:p w:rsidR="00B82F2F" w:rsidRDefault="00152E8E" w:rsidP="00B82F2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Cs/>
          <w:color w:val="FF0000"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color w:val="FF0000"/>
          <w:sz w:val="24"/>
          <w:szCs w:val="24"/>
          <w:lang w:eastAsia="fr-FR"/>
        </w:rPr>
        <w:t>Escalade du conflit armé et crise humanitaire sans précédent</w:t>
      </w:r>
    </w:p>
    <w:p w:rsidR="00152E8E" w:rsidRPr="00152E8E" w:rsidRDefault="00152E8E" w:rsidP="00B82F2F">
      <w:pPr>
        <w:spacing w:before="100" w:beforeAutospacing="1" w:after="100" w:afterAutospacing="1" w:line="240" w:lineRule="auto"/>
        <w:ind w:left="2124" w:firstLine="708"/>
        <w:outlineLvl w:val="1"/>
        <w:rPr>
          <w:rFonts w:eastAsia="Times New Roman" w:cstheme="minorHAnsi"/>
          <w:bCs/>
          <w:color w:val="FF0000"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color w:val="FF0000"/>
          <w:sz w:val="24"/>
          <w:szCs w:val="24"/>
          <w:lang w:eastAsia="fr-FR"/>
        </w:rPr>
        <w:t>Les enfants et les femmes en première ligne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ASBL RENAISSANCE AFRICAINE (RENAF)</w:t>
      </w:r>
      <w:r w:rsidRPr="00152E8E">
        <w:rPr>
          <w:rFonts w:eastAsia="Times New Roman" w:cstheme="minorHAnsi"/>
          <w:sz w:val="24"/>
          <w:szCs w:val="24"/>
          <w:lang w:eastAsia="fr-FR"/>
        </w:rPr>
        <w:br/>
        <w:t>Sud-Kivu – République Démocratique du Congo</w:t>
      </w:r>
      <w:r w:rsidRPr="00152E8E">
        <w:rPr>
          <w:rFonts w:eastAsia="Times New Roman" w:cstheme="minorHAnsi"/>
          <w:sz w:val="24"/>
          <w:szCs w:val="24"/>
          <w:lang w:eastAsia="fr-FR"/>
        </w:rPr>
        <w:br/>
      </w:r>
      <w:r w:rsidRPr="00152E8E">
        <w:rPr>
          <w:rFonts w:ascii="Segoe UI Symbol" w:eastAsia="Times New Roman" w:hAnsi="Segoe UI Symbol" w:cs="Segoe UI Symbol"/>
          <w:sz w:val="24"/>
          <w:szCs w:val="24"/>
          <w:lang w:eastAsia="fr-FR"/>
        </w:rPr>
        <w:t>📧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</w:t>
      </w:r>
      <w:hyperlink r:id="rId8" w:history="1">
        <w:r w:rsidRPr="00152E8E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renafsudkivu@gmail.com</w:t>
        </w:r>
      </w:hyperlink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>
            <wp:extent cx="5760720" cy="2609557"/>
            <wp:effectExtent l="0" t="0" r="0" b="635"/>
            <wp:docPr id="1" name="Image 1" descr="Une jeune fille puise de l'eau dans un camp de personnes déplacées en République démocratique du Congo (photo d'archives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Une jeune fille puise de l'eau dans un camp de personnes déplacées en République démocratique du Congo (photo d'archives)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L’ASBL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Renaissance Africaine (RENAF)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lance une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alerte humanitaire urgente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face à l’escalade dramatique du conflit armé dans l’est de la République démocratique du Congo. Cette intensification des violences a atteint un niveau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sans précédent depuis plus de trois décennies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plongeant les provinces de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l’Ituri, du Nord-Kivu et du Sud-Kivu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dans l’une des pires crises humanitaires au monde.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Des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millions de civils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en particulier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les enfants et les femmes</w:t>
      </w:r>
      <w:r w:rsidRPr="00152E8E">
        <w:rPr>
          <w:rFonts w:eastAsia="Times New Roman" w:cstheme="minorHAnsi"/>
          <w:sz w:val="24"/>
          <w:szCs w:val="24"/>
          <w:lang w:eastAsia="fr-FR"/>
        </w:rPr>
        <w:t>, sont aujourd’hui exposés à des risques immédiats de violences, de déplacements forcés, de maladies et de violations graves des droits humains.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Une crise humanitaire d’ampleur exceptionnelle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Depuis janvier,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plus d’un million de personnes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dont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environ 400 000 enfants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ont été nouvellement déplacées dans l’est de la RDC. Cette situation vient s’ajouter aux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plus de cinq millions de déplacés internes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vivant déjà dans des camps et communautés d’accueil surpeuplés, dans des conditions d’extrême précarité.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lastRenderedPageBreak/>
        <w:t xml:space="preserve">Au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Sud-Kivu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la situation est particulièrement alarmante dans les zones proches du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Parc National de Kahuzi-Biega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notamment dans les localités de </w:t>
      </w:r>
      <w:r w:rsidR="00D86770">
        <w:rPr>
          <w:rFonts w:eastAsia="Times New Roman" w:cstheme="minorHAnsi"/>
          <w:bCs/>
          <w:sz w:val="24"/>
          <w:szCs w:val="24"/>
          <w:lang w:eastAsia="fr-FR"/>
        </w:rPr>
        <w:t>Kahungu, Kabushwa et Mab</w:t>
      </w:r>
      <w:bookmarkStart w:id="0" w:name="_GoBack"/>
      <w:bookmarkEnd w:id="0"/>
      <w:r w:rsidRPr="00152E8E">
        <w:rPr>
          <w:rFonts w:eastAsia="Times New Roman" w:cstheme="minorHAnsi"/>
          <w:bCs/>
          <w:sz w:val="24"/>
          <w:szCs w:val="24"/>
          <w:lang w:eastAsia="fr-FR"/>
        </w:rPr>
        <w:t>ingu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(territoire de Kabare, groupement d’Irhambi Katana). Les populations y font face à :</w:t>
      </w:r>
    </w:p>
    <w:p w:rsidR="00152E8E" w:rsidRPr="00152E8E" w:rsidRDefault="00152E8E" w:rsidP="00B82F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des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déplacements forcés répétés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152E8E" w:rsidRPr="00152E8E" w:rsidRDefault="00152E8E" w:rsidP="00B82F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une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insécurité croissante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liée aux mouvements des groupes armés ;</w:t>
      </w:r>
    </w:p>
    <w:p w:rsidR="00152E8E" w:rsidRPr="00152E8E" w:rsidRDefault="00152E8E" w:rsidP="00B82F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un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accès extrêmement limité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aux soins de santé, à l’eau potable et à l’assainissement ;</w:t>
      </w:r>
    </w:p>
    <w:p w:rsidR="00152E8E" w:rsidRPr="00152E8E" w:rsidRDefault="00152E8E" w:rsidP="00B82F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une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exposition accrue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aux épidémies de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choléra, rougeole et mpox</w:t>
      </w:r>
      <w:r w:rsidRPr="00152E8E">
        <w:rPr>
          <w:rFonts w:eastAsia="Times New Roman" w:cstheme="minorHAnsi"/>
          <w:sz w:val="24"/>
          <w:szCs w:val="24"/>
          <w:lang w:eastAsia="fr-FR"/>
        </w:rPr>
        <w:t>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Les enfants et les femmes, principales victimes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La dimension la plus effroyable de cette crise demeure la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violence généralisée exercée contre les enfants et les femmes</w:t>
      </w:r>
      <w:r w:rsidRPr="00152E8E">
        <w:rPr>
          <w:rFonts w:eastAsia="Times New Roman" w:cstheme="minorHAnsi"/>
          <w:sz w:val="24"/>
          <w:szCs w:val="24"/>
          <w:lang w:eastAsia="fr-FR"/>
        </w:rPr>
        <w:t>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Les violations graves commises par les groupes armés ont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augmenté de plus de 100 %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par rapport à l’année précédente. Elles incluent :</w:t>
      </w:r>
    </w:p>
    <w:p w:rsidR="00152E8E" w:rsidRPr="00152E8E" w:rsidRDefault="00152E8E" w:rsidP="00B82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>des attaques indiscriminées contre les civils ;</w:t>
      </w:r>
    </w:p>
    <w:p w:rsidR="00152E8E" w:rsidRPr="00152E8E" w:rsidRDefault="00152E8E" w:rsidP="00B82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>le recrutement et l’utilisation d’enfants ;</w:t>
      </w:r>
    </w:p>
    <w:p w:rsidR="00152E8E" w:rsidRPr="00152E8E" w:rsidRDefault="00152E8E" w:rsidP="00B82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>des enlèvements collectifs ;</w:t>
      </w:r>
    </w:p>
    <w:p w:rsidR="00152E8E" w:rsidRPr="00152E8E" w:rsidRDefault="00152E8E" w:rsidP="00B82F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>des violences sexuelles massives.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Les violences sexuelles atteignent des niveaux alarmants. Les enfants représenteraient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plus de 40 %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des quelque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10 000 cas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signalés en seulement deux mois. Lors des périodes les plus intenses du conflit,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un enfant aurait été victime de viol toutes les trente minutes</w:t>
      </w:r>
      <w:r w:rsidRPr="00152E8E">
        <w:rPr>
          <w:rFonts w:eastAsia="Times New Roman" w:cstheme="minorHAnsi"/>
          <w:sz w:val="24"/>
          <w:szCs w:val="24"/>
          <w:lang w:eastAsia="fr-FR"/>
        </w:rPr>
        <w:t>. Ces chiffres ne reflètent qu’une partie de la réalité, de nombreux cas restant non déclarés.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Des épidémies qui menacent une génération entière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Les déplacements massifs et l’effondrement des services essentiels ont créé un terrain propice à la propagation rapide des maladies, touchant particulièrement les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enfants de moins de cinq ans</w:t>
      </w:r>
      <w:r w:rsidRPr="00152E8E">
        <w:rPr>
          <w:rFonts w:eastAsia="Times New Roman" w:cstheme="minorHAnsi"/>
          <w:sz w:val="24"/>
          <w:szCs w:val="24"/>
          <w:lang w:eastAsia="fr-FR"/>
        </w:rPr>
        <w:t>, déjà fragilisés par la malnutrition chronique.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>Le Sud-Kivu fait face à :</w:t>
      </w:r>
    </w:p>
    <w:p w:rsidR="00152E8E" w:rsidRPr="00152E8E" w:rsidRDefault="00152E8E" w:rsidP="00B82F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une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épidémie active de choléra</w:t>
      </w:r>
      <w:r w:rsidRPr="00152E8E">
        <w:rPr>
          <w:rFonts w:eastAsia="Times New Roman" w:cstheme="minorHAnsi"/>
          <w:sz w:val="24"/>
          <w:szCs w:val="24"/>
          <w:lang w:eastAsia="fr-FR"/>
        </w:rPr>
        <w:t>, touchant de nouvelles zones non endémiques ;</w:t>
      </w:r>
    </w:p>
    <w:p w:rsidR="00152E8E" w:rsidRPr="00152E8E" w:rsidRDefault="00152E8E" w:rsidP="00B82F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une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recrudescence sévère de la rougeole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152E8E" w:rsidRPr="00152E8E" w:rsidRDefault="00152E8E" w:rsidP="00B82F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la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circulation persistante du mpox</w:t>
      </w:r>
      <w:r w:rsidRPr="00152E8E">
        <w:rPr>
          <w:rFonts w:eastAsia="Times New Roman" w:cstheme="minorHAnsi"/>
          <w:sz w:val="24"/>
          <w:szCs w:val="24"/>
          <w:lang w:eastAsia="fr-FR"/>
        </w:rPr>
        <w:t>, dans un contexte de réponse sanitaire gravement perturbée.</w:t>
      </w:r>
    </w:p>
    <w:p w:rsid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Les structures de santé sont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débordées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manquent de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médicaments essentiels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et de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kits PEP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pour la prise en charge des survivantes de violences sexuelles, mettant des vies en danger immédiat</w:t>
      </w:r>
    </w:p>
    <w:p w:rsidR="00F81E4B" w:rsidRDefault="00F81E4B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F81E4B" w:rsidRDefault="00F81E4B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F81E4B" w:rsidRPr="00152E8E" w:rsidRDefault="00F81E4B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152E8E" w:rsidRPr="00152E8E" w:rsidRDefault="00152E8E" w:rsidP="00B82F2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Fermeture des écoles et entraves à l’aide humanitaire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>Depuis le début de l’année</w:t>
      </w:r>
      <w:r w:rsidR="00B82F2F">
        <w:rPr>
          <w:rFonts w:eastAsia="Times New Roman" w:cstheme="minorHAnsi"/>
          <w:sz w:val="24"/>
          <w:szCs w:val="24"/>
          <w:lang w:eastAsia="fr-FR"/>
        </w:rPr>
        <w:t xml:space="preserve"> 2026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B82F2F">
        <w:rPr>
          <w:rFonts w:eastAsia="Times New Roman" w:cstheme="minorHAnsi"/>
          <w:bCs/>
          <w:sz w:val="24"/>
          <w:szCs w:val="24"/>
          <w:lang w:eastAsia="fr-FR"/>
        </w:rPr>
        <w:t xml:space="preserve">plus de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500 écoles et espaces d’apprentissage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ont été fermés dans le Nord et le Sud-Kivu, exposant les enfants à des risques accrus de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recrutement armé, d’exploitation et de violences sexuelles</w:t>
      </w:r>
      <w:r w:rsidRPr="00152E8E">
        <w:rPr>
          <w:rFonts w:eastAsia="Times New Roman" w:cstheme="minorHAnsi"/>
          <w:sz w:val="24"/>
          <w:szCs w:val="24"/>
          <w:lang w:eastAsia="fr-FR"/>
        </w:rPr>
        <w:t>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>Par ailleurs, l’insécurité généralisée entrave gravement l’accès humanitaire à travers :</w:t>
      </w:r>
    </w:p>
    <w:p w:rsidR="00152E8E" w:rsidRPr="00152E8E" w:rsidRDefault="00152E8E" w:rsidP="00B82F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>le pillage d’entrepôts et d’infrastructures humanitaires ;</w:t>
      </w:r>
    </w:p>
    <w:p w:rsidR="00152E8E" w:rsidRPr="00152E8E" w:rsidRDefault="00152E8E" w:rsidP="00B82F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>l’accès fortement limité aux zones reculées.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Déplacements massifs et risques liés aux restes explosifs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Les violences récentes dans les territoires </w:t>
      </w:r>
      <w:r w:rsidR="00B82F2F">
        <w:rPr>
          <w:rFonts w:eastAsia="Times New Roman" w:cstheme="minorHAnsi"/>
          <w:sz w:val="24"/>
          <w:szCs w:val="24"/>
          <w:lang w:eastAsia="fr-FR"/>
        </w:rPr>
        <w:t xml:space="preserve">(mi-décembre 2025) </w:t>
      </w:r>
      <w:r w:rsidRPr="00152E8E">
        <w:rPr>
          <w:rFonts w:eastAsia="Times New Roman" w:cstheme="minorHAnsi"/>
          <w:sz w:val="24"/>
          <w:szCs w:val="24"/>
          <w:lang w:eastAsia="fr-FR"/>
        </w:rPr>
        <w:t>d’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Uvira, Mwenga et Fizi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ont entraîné des déplacements massifs de populations civiles. Les Nations Unies estiment à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près de 500 000 personnes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le nombre de personnes en mouvement au Sud-Kivu depuis le 2 décembre 2025.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La présence de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munitions non explosées et abandonnées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notamment sur l’axe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Kamanyola–Uvira</w:t>
      </w:r>
      <w:r w:rsidRPr="00152E8E">
        <w:rPr>
          <w:rFonts w:eastAsia="Times New Roman" w:cstheme="minorHAnsi"/>
          <w:sz w:val="24"/>
          <w:szCs w:val="24"/>
          <w:lang w:eastAsia="fr-FR"/>
        </w:rPr>
        <w:t>, représente un danger immédiat pour les populations, en particulier avec le retour progressif de certains déplacés dans leurs villages.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APPEL URGENT À L’ACTION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Face à cette situation critique, </w:t>
      </w:r>
      <w:r w:rsidR="00B82F2F">
        <w:rPr>
          <w:rFonts w:eastAsia="Times New Roman" w:cstheme="minorHAnsi"/>
          <w:sz w:val="24"/>
          <w:szCs w:val="24"/>
          <w:lang w:eastAsia="fr-FR"/>
        </w:rPr>
        <w:t xml:space="preserve">Asbl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RENAF appelle urgemment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:rsidR="00152E8E" w:rsidRPr="00152E8E" w:rsidRDefault="00152E8E" w:rsidP="00B82F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À la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protection immédiate des civils</w:t>
      </w:r>
      <w:r w:rsidRPr="00152E8E">
        <w:rPr>
          <w:rFonts w:eastAsia="Times New Roman" w:cstheme="minorHAnsi"/>
          <w:sz w:val="24"/>
          <w:szCs w:val="24"/>
          <w:lang w:eastAsia="fr-FR"/>
        </w:rPr>
        <w:t>, en particulier des enfants et des femmes, conformément au droit international humanitaire.</w:t>
      </w:r>
    </w:p>
    <w:p w:rsidR="00152E8E" w:rsidRPr="00152E8E" w:rsidRDefault="00152E8E" w:rsidP="00B82F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À un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accès humanitaire sûr, rapide et sans entrave</w:t>
      </w:r>
      <w:r w:rsidRPr="00152E8E">
        <w:rPr>
          <w:rFonts w:eastAsia="Times New Roman" w:cstheme="minorHAnsi"/>
          <w:sz w:val="24"/>
          <w:szCs w:val="24"/>
          <w:lang w:eastAsia="fr-FR"/>
        </w:rPr>
        <w:t>, y compris dans les zones proches du Parc National de Kahuzi-Biega.</w:t>
      </w:r>
    </w:p>
    <w:p w:rsidR="00152E8E" w:rsidRPr="00152E8E" w:rsidRDefault="00152E8E" w:rsidP="00B82F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À une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mobilisation financière urgente et flexible</w:t>
      </w:r>
      <w:r w:rsidRPr="00152E8E">
        <w:rPr>
          <w:rFonts w:eastAsia="Times New Roman" w:cstheme="minorHAnsi"/>
          <w:sz w:val="24"/>
          <w:szCs w:val="24"/>
          <w:lang w:eastAsia="fr-FR"/>
        </w:rPr>
        <w:t>, afin de répondre aux besoins vitaux en santé, eau, assainissement, protection et éducation d’urgence.</w:t>
      </w:r>
    </w:p>
    <w:p w:rsidR="00152E8E" w:rsidRPr="00152E8E" w:rsidRDefault="00152E8E" w:rsidP="00B82F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À la mise en place de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trêves humanitaires temporaires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permettant l’acheminement de l’aide et la prise en charge médicale des populations affectées.</w:t>
      </w:r>
    </w:p>
    <w:p w:rsidR="00152E8E" w:rsidRPr="00152E8E" w:rsidRDefault="00152E8E" w:rsidP="00B82F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À la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lutte contre l’impunité</w:t>
      </w:r>
      <w:r w:rsidRPr="00152E8E">
        <w:rPr>
          <w:rFonts w:eastAsia="Times New Roman" w:cstheme="minorHAnsi"/>
          <w:sz w:val="24"/>
          <w:szCs w:val="24"/>
          <w:lang w:eastAsia="fr-FR"/>
        </w:rPr>
        <w:t>, afin que les auteurs de violations graves, notamment de violences sexuelles et de recrutement d’enfants, rendent des comptes.</w:t>
      </w:r>
    </w:p>
    <w:p w:rsidR="00152E8E" w:rsidRPr="00152E8E" w:rsidRDefault="00152E8E" w:rsidP="00B82F2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152E8E">
        <w:rPr>
          <w:rFonts w:asciiTheme="minorHAnsi" w:hAnsiTheme="minorHAnsi" w:cstheme="minorHAnsi"/>
          <w:color w:val="333333"/>
        </w:rPr>
        <w:t>Pour rappel, l</w:t>
      </w:r>
      <w:r w:rsidRPr="00152E8E">
        <w:rPr>
          <w:rFonts w:asciiTheme="minorHAnsi" w:hAnsiTheme="minorHAnsi" w:cstheme="minorHAnsi"/>
          <w:color w:val="333333"/>
        </w:rPr>
        <w:t>es chiffres ont de quoi choquer. Près de 900 viols dans l’est de la RDC en l’espace de deux semaines - soit une moyenne de 60 par jour. Telle est l’ampleur du phénomène observé durant la première quinzaine de février</w:t>
      </w:r>
      <w:r w:rsidR="00961C00">
        <w:rPr>
          <w:rFonts w:asciiTheme="minorHAnsi" w:hAnsiTheme="minorHAnsi" w:cstheme="minorHAnsi"/>
          <w:color w:val="333333"/>
        </w:rPr>
        <w:t xml:space="preserve"> 2025</w:t>
      </w:r>
      <w:r w:rsidRPr="00152E8E">
        <w:rPr>
          <w:rFonts w:asciiTheme="minorHAnsi" w:hAnsiTheme="minorHAnsi" w:cstheme="minorHAnsi"/>
          <w:color w:val="333333"/>
        </w:rPr>
        <w:t>, selon les données collectées sur place par les agents h</w:t>
      </w:r>
      <w:r w:rsidR="00961C00">
        <w:rPr>
          <w:rFonts w:asciiTheme="minorHAnsi" w:hAnsiTheme="minorHAnsi" w:cstheme="minorHAnsi"/>
          <w:color w:val="333333"/>
        </w:rPr>
        <w:t xml:space="preserve">umanitaires et dévoilées, </w:t>
      </w:r>
      <w:r w:rsidRPr="00152E8E">
        <w:rPr>
          <w:rFonts w:asciiTheme="minorHAnsi" w:hAnsiTheme="minorHAnsi" w:cstheme="minorHAnsi"/>
          <w:color w:val="333333"/>
        </w:rPr>
        <w:t xml:space="preserve"> par l’agence des Nations Unies pour les réfugiés (</w:t>
      </w:r>
      <w:hyperlink r:id="rId10" w:tgtFrame="_blank" w:tooltip="(opens in a new window)" w:history="1">
        <w:r w:rsidRPr="00152E8E">
          <w:rPr>
            <w:rStyle w:val="Lienhypertexte"/>
            <w:rFonts w:asciiTheme="minorHAnsi" w:hAnsiTheme="minorHAnsi" w:cstheme="minorHAnsi"/>
            <w:color w:val="008FD5"/>
          </w:rPr>
          <w:t>HCR</w:t>
        </w:r>
      </w:hyperlink>
      <w:r w:rsidRPr="00152E8E">
        <w:rPr>
          <w:rFonts w:asciiTheme="minorHAnsi" w:hAnsiTheme="minorHAnsi" w:cstheme="minorHAnsi"/>
          <w:color w:val="333333"/>
        </w:rPr>
        <w:t>). </w:t>
      </w:r>
    </w:p>
    <w:p w:rsidR="00152E8E" w:rsidRPr="00152E8E" w:rsidRDefault="00152E8E" w:rsidP="00B82F2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152E8E">
        <w:rPr>
          <w:rFonts w:asciiTheme="minorHAnsi" w:hAnsiTheme="minorHAnsi" w:cstheme="minorHAnsi"/>
          <w:color w:val="333333"/>
        </w:rPr>
        <w:t>Toutefois, avant même l’offensive militaire lancée en début d’année par les rebelles du M23, avec le soutien de l’armée rwandaise, dans le Nord- et le Sud-Kivu, les deux provinces étaient déjà en proie à une augmentation alarmante des violences sexuelles.</w:t>
      </w:r>
    </w:p>
    <w:p w:rsidR="00152E8E" w:rsidRPr="00152E8E" w:rsidRDefault="00152E8E" w:rsidP="00B82F2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152E8E">
        <w:rPr>
          <w:rFonts w:asciiTheme="minorHAnsi" w:hAnsiTheme="minorHAnsi" w:cstheme="minorHAnsi"/>
          <w:color w:val="333333"/>
        </w:rPr>
        <w:lastRenderedPageBreak/>
        <w:t>En 2023, 123.000 cas ont ainsi été recensés dans l'ensemble de la RDC, dont plus de 70 % d’entre eux à l’est du pays. </w:t>
      </w:r>
    </w:p>
    <w:p w:rsidR="00152E8E" w:rsidRPr="00152E8E" w:rsidRDefault="00152E8E" w:rsidP="00B82F2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152E8E">
        <w:rPr>
          <w:rFonts w:asciiTheme="minorHAnsi" w:hAnsiTheme="minorHAnsi" w:cstheme="minorHAnsi"/>
          <w:color w:val="333333"/>
        </w:rPr>
        <w:t>« Cela correspond à une femme violée toutes les quatre minutes », précise Mady Biaye, le principal représentant en RDC de l’agence des Nations Unies pour la santé sexuelle et re</w:t>
      </w:r>
      <w:r w:rsidRPr="00152E8E">
        <w:rPr>
          <w:rFonts w:asciiTheme="minorHAnsi" w:hAnsiTheme="minorHAnsi" w:cstheme="minorHAnsi"/>
          <w:color w:val="333333"/>
        </w:rPr>
        <w:t>productive</w:t>
      </w:r>
    </w:p>
    <w:p w:rsidR="00152E8E" w:rsidRPr="00152E8E" w:rsidRDefault="00152E8E" w:rsidP="00B82F2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AGIR MAINTENANT POUR SAUVER UNE GÉNÉRATION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sz w:val="24"/>
          <w:szCs w:val="24"/>
          <w:lang w:eastAsia="fr-FR"/>
        </w:rPr>
        <w:t xml:space="preserve">Sans action immédiate et coordonnée,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une génération entière d’enfants</w:t>
      </w:r>
      <w:r w:rsidR="00F81E4B">
        <w:rPr>
          <w:rFonts w:eastAsia="Times New Roman" w:cstheme="minorHAnsi"/>
          <w:bCs/>
          <w:sz w:val="24"/>
          <w:szCs w:val="24"/>
          <w:lang w:eastAsia="fr-FR"/>
        </w:rPr>
        <w:t xml:space="preserve"> et des femmes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 xml:space="preserve"> du Sud-Kivu risque d’être condamnée à la peur, au traumatisme et à la violence</w:t>
      </w:r>
      <w:r w:rsidRPr="00152E8E">
        <w:rPr>
          <w:rFonts w:eastAsia="Times New Roman" w:cstheme="minorHAnsi"/>
          <w:sz w:val="24"/>
          <w:szCs w:val="24"/>
          <w:lang w:eastAsia="fr-FR"/>
        </w:rPr>
        <w:t>. Une mobilisation collective et déterminée peut encore sauver des vies, restaurer l’espoir et protéger l’avenir.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Asbl RENAF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reste pleinement engagée aux côtés des communautés affectées, notamment à </w:t>
      </w:r>
      <w:r w:rsidR="00D86770">
        <w:rPr>
          <w:rFonts w:eastAsia="Times New Roman" w:cstheme="minorHAnsi"/>
          <w:bCs/>
          <w:sz w:val="24"/>
          <w:szCs w:val="24"/>
          <w:lang w:eastAsia="fr-FR"/>
        </w:rPr>
        <w:t>Kahungu, Kabushwa et Mab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ingu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, et appelle les bailleurs, partenaires et décideurs à </w:t>
      </w:r>
      <w:r w:rsidRPr="00152E8E">
        <w:rPr>
          <w:rFonts w:eastAsia="Times New Roman" w:cstheme="minorHAnsi"/>
          <w:bCs/>
          <w:sz w:val="24"/>
          <w:szCs w:val="24"/>
          <w:lang w:eastAsia="fr-FR"/>
        </w:rPr>
        <w:t>agir maintenant</w:t>
      </w:r>
      <w:r w:rsidRPr="00152E8E">
        <w:rPr>
          <w:rFonts w:eastAsia="Times New Roman" w:cstheme="minorHAnsi"/>
          <w:sz w:val="24"/>
          <w:szCs w:val="24"/>
          <w:lang w:eastAsia="fr-FR"/>
        </w:rPr>
        <w:t>.</w:t>
      </w:r>
    </w:p>
    <w:p w:rsidR="00152E8E" w:rsidRPr="00152E8E" w:rsidRDefault="00152E8E" w:rsidP="00B82F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152E8E">
        <w:rPr>
          <w:rFonts w:eastAsia="Times New Roman" w:cstheme="minorHAnsi"/>
          <w:bCs/>
          <w:sz w:val="24"/>
          <w:szCs w:val="24"/>
          <w:lang w:eastAsia="fr-FR"/>
        </w:rPr>
        <w:t>Pour l’ASBL RENAISSANCE AFRICAINE (RENAF)</w:t>
      </w:r>
      <w:r w:rsidRPr="00152E8E">
        <w:rPr>
          <w:rFonts w:eastAsia="Times New Roman" w:cstheme="minorHAnsi"/>
          <w:sz w:val="24"/>
          <w:szCs w:val="24"/>
          <w:lang w:eastAsia="fr-FR"/>
        </w:rPr>
        <w:br/>
        <w:t>Sud-Kivu – République Démocratique du Congo</w:t>
      </w:r>
      <w:r w:rsidRPr="00152E8E">
        <w:rPr>
          <w:rFonts w:eastAsia="Times New Roman" w:cstheme="minorHAnsi"/>
          <w:sz w:val="24"/>
          <w:szCs w:val="24"/>
          <w:lang w:eastAsia="fr-FR"/>
        </w:rPr>
        <w:br/>
      </w:r>
      <w:r w:rsidRPr="00152E8E">
        <w:rPr>
          <w:rFonts w:ascii="Segoe UI Symbol" w:eastAsia="Times New Roman" w:hAnsi="Segoe UI Symbol" w:cs="Segoe UI Symbol"/>
          <w:sz w:val="24"/>
          <w:szCs w:val="24"/>
          <w:lang w:eastAsia="fr-FR"/>
        </w:rPr>
        <w:t>📧</w:t>
      </w:r>
      <w:r w:rsidRPr="00152E8E">
        <w:rPr>
          <w:rFonts w:eastAsia="Times New Roman" w:cstheme="minorHAnsi"/>
          <w:sz w:val="24"/>
          <w:szCs w:val="24"/>
          <w:lang w:eastAsia="fr-FR"/>
        </w:rPr>
        <w:t xml:space="preserve"> </w:t>
      </w:r>
      <w:hyperlink r:id="rId11" w:history="1">
        <w:r w:rsidR="00B82F2F" w:rsidRPr="00FB35DF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renafsudkivu@gmail.com</w:t>
        </w:r>
      </w:hyperlink>
      <w:r w:rsidR="00B82F2F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152E8E" w:rsidRPr="00152E8E" w:rsidRDefault="00152E8E" w:rsidP="00B82F2F">
      <w:pPr>
        <w:rPr>
          <w:rFonts w:cstheme="minorHAnsi"/>
          <w:sz w:val="24"/>
          <w:szCs w:val="24"/>
        </w:rPr>
      </w:pPr>
    </w:p>
    <w:sectPr w:rsidR="00152E8E" w:rsidRPr="00152E8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0A" w:rsidRDefault="00BC760A" w:rsidP="00B82F2F">
      <w:pPr>
        <w:spacing w:after="0" w:line="240" w:lineRule="auto"/>
      </w:pPr>
      <w:r>
        <w:separator/>
      </w:r>
    </w:p>
  </w:endnote>
  <w:endnote w:type="continuationSeparator" w:id="0">
    <w:p w:rsidR="00BC760A" w:rsidRDefault="00BC760A" w:rsidP="00B8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76971"/>
      <w:docPartObj>
        <w:docPartGallery w:val="Page Numbers (Bottom of Page)"/>
        <w:docPartUnique/>
      </w:docPartObj>
    </w:sdtPr>
    <w:sdtContent>
      <w:p w:rsidR="00B82F2F" w:rsidRDefault="00B82F2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82F2F" w:rsidRDefault="00B82F2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86770" w:rsidRPr="00D86770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lA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iZ&#10;ExVJtBKIP56ZBHT0M2w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0P3ZQD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B82F2F" w:rsidRDefault="00B82F2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86770" w:rsidRPr="00D86770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0A" w:rsidRDefault="00BC760A" w:rsidP="00B82F2F">
      <w:pPr>
        <w:spacing w:after="0" w:line="240" w:lineRule="auto"/>
      </w:pPr>
      <w:r>
        <w:separator/>
      </w:r>
    </w:p>
  </w:footnote>
  <w:footnote w:type="continuationSeparator" w:id="0">
    <w:p w:rsidR="00BC760A" w:rsidRDefault="00BC760A" w:rsidP="00B82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7814"/>
    <w:multiLevelType w:val="multilevel"/>
    <w:tmpl w:val="CA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555A2"/>
    <w:multiLevelType w:val="multilevel"/>
    <w:tmpl w:val="D1D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D22DD"/>
    <w:multiLevelType w:val="multilevel"/>
    <w:tmpl w:val="47DE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D31A1"/>
    <w:multiLevelType w:val="multilevel"/>
    <w:tmpl w:val="4220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B1E5E"/>
    <w:multiLevelType w:val="multilevel"/>
    <w:tmpl w:val="4DF0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8E"/>
    <w:rsid w:val="00152E8E"/>
    <w:rsid w:val="007C6E12"/>
    <w:rsid w:val="00961C00"/>
    <w:rsid w:val="00B82F2F"/>
    <w:rsid w:val="00BC760A"/>
    <w:rsid w:val="00D86770"/>
    <w:rsid w:val="00F8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B8B86"/>
  <w15:chartTrackingRefBased/>
  <w15:docId w15:val="{49A8B50A-4431-4148-B0D8-AF60ABAF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52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52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52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E8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2E8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52E8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52E8E"/>
    <w:rPr>
      <w:b/>
      <w:bCs/>
    </w:rPr>
  </w:style>
  <w:style w:type="paragraph" w:styleId="NormalWeb">
    <w:name w:val="Normal (Web)"/>
    <w:basedOn w:val="Normal"/>
    <w:uiPriority w:val="99"/>
    <w:unhideWhenUsed/>
    <w:rsid w:val="0015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52E8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2F2F"/>
  </w:style>
  <w:style w:type="paragraph" w:styleId="Pieddepage">
    <w:name w:val="footer"/>
    <w:basedOn w:val="Normal"/>
    <w:link w:val="PieddepageCar"/>
    <w:uiPriority w:val="99"/>
    <w:unhideWhenUsed/>
    <w:rsid w:val="00B8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fsudkivu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afsudkivu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hcr.org/f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1051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2026-01-17T14:42:00Z</dcterms:created>
  <dcterms:modified xsi:type="dcterms:W3CDTF">2026-01-17T15:11:00Z</dcterms:modified>
</cp:coreProperties>
</file>