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Maria Jose Isaacs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8C7A2E"/>
          <w:sz w:val="20"/>
          <w:szCs w:val="20"/>
        </w:rPr>
        <w:t xml:space="preserve">Gold Student ADDY Award 2026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Creative Strategy  ·  Content Production  ·  University of South Florida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mariajoseisaacsb@gmail.com  ·  linkedin.com/in/maria-jose-isaacs  ·  mariajoseisaacs.com  ·  Tampa,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i w:val="false"/>
          <w:iCs w:val="false"/>
          <w:color w:val="374141"/>
          <w:sz w:val="21"/>
          <w:szCs w:val="21"/>
        </w:rPr>
        <w:t xml:space="preserve">Gold ADDY-winning creative and content strategist at the University of South Florida completing dual degrees in Integrated PR and Advertising and Mass Communication with a Broadcast Production concentration. NBCUniversal internship alumni with demonstrated impact across social media campaigns generating 426k impressions. Proficient in Adobe Creative Suite, Premiere Pro, and After Effects. Seeking a creative strategy, content production, or social media role at an agency or media company.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VP of Marketing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May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Center for Student Involvement  ·  University of South Florida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Produced social content reaching 426k impressions, growing Instagram following by nearly 1k in the first week of Fall 2025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Led marketing campaigns for Homecoming Kick-off 2025, increasing event turnout 34% over the prior year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Managed a team of Marketing Directors across multiple programs, establishing timelines, brand guidelines, and content strategy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Coordinated weekly tabling operations with 25+ staff and committee members across campus</w:t>
            </w:r>
          </w:p>
          <w:p>
            <w:pPr>
              <w:spacing w:after="5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Creative Entertainment Group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Jun – Aug 2024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NBCUniversal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Produced social content for channels with 570k+ followers, achieving top-performing engagement for the Race to Survive: New Zealand campaign across Instagram, TikTok, and 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Created 12+ behind-the-scenes video pieces for The Anonymous, generating 400+ social interactions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Pitched an original show concept for the UniKids branch, presenting ideation, concepting, and key art to a panel of NBCU producers and judges</w:t>
            </w:r>
          </w:p>
          <w:p>
            <w:pPr>
              <w:spacing w:after="5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Marketing and Communications Assistant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Nov 2022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Judy Genshaft Honors College  ·  University of South Florida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 social media campaigns for LinkedIn (3k+ followers) and Instagram (7k+ followers) across three USF campuses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Designed and resized 100+ graphics for creative projects including the State of the College Report and email marketing via Constant Contact and Salesforce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Produced video content including reels, faculty spotlights, and graduation ceremony coverage using Adobe Premiere and After Effects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Organized the Honors College Graduation ceremony for 500+ attendees, writing graduate scripts and managing day-of photography</w:t>
            </w:r>
          </w:p>
          <w:p>
            <w:pPr>
              <w:spacing w:after="5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President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May – Dec 2024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American Advertising Federation  ·  University of South Florida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Led admin, operations, communications, and special projects committees for the USF chapter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Organized 10+ industry events, breaking chapter attendance records with 30+ students per event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Grew member engagement 18% and drove 1.5k+ views per Instagram post, increasing following 7.5% in a single month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B.S. Integrated PR &amp; Advertising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2026  ·  GPA 3.96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Judy Genshaft Honors College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Visualization &amp; Design Certificate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B.A. Mass Communication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Broadcast Production Concentration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2026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Honors &amp; Awards</w:t>
            </w:r>
          </w:p>
          <w:p>
            <w:pPr>
              <w:tabs>
                <w:tab w:val="right" w:pos="2700"/>
              </w:tabs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Gold Student ADDY Award</w:t>
            </w:r>
            <w:r>
              <w:rPr>
                <w:rFonts w:ascii="Calibri" w:cs="Calibri" w:eastAsia="Calibri" w:hAnsi="Calibri"/>
                <w:color w:val="5A6B62"/>
                <w:sz w:val="18"/>
                <w:szCs w:val="18"/>
              </w:rPr>
              <w:t xml:space="preserve">	2026</w:t>
            </w:r>
          </w:p>
          <w:p>
            <w:pPr>
              <w:tabs>
                <w:tab w:val="right" w:pos="2700"/>
              </w:tabs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Dean's List of Scholars</w:t>
            </w:r>
            <w:r>
              <w:rPr>
                <w:rFonts w:ascii="Calibri" w:cs="Calibri" w:eastAsia="Calibri" w:hAnsi="Calibri"/>
                <w:color w:val="5A6B62"/>
                <w:sz w:val="18"/>
                <w:szCs w:val="18"/>
              </w:rPr>
              <w:t xml:space="preserve">	Fall 2022–Present</w:t>
            </w:r>
          </w:p>
          <w:p>
            <w:pPr>
              <w:tabs>
                <w:tab w:val="right" w:pos="2700"/>
              </w:tabs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Scholars Gold Award</w:t>
            </w:r>
            <w:r>
              <w:rPr>
                <w:rFonts w:ascii="Calibri" w:cs="Calibri" w:eastAsia="Calibri" w:hAnsi="Calibri"/>
                <w:color w:val="5A6B62"/>
                <w:sz w:val="18"/>
                <w:szCs w:val="18"/>
              </w:rPr>
              <w:t xml:space="preserve">	Fall 2022–Present</w:t>
            </w:r>
          </w:p>
          <w:p>
            <w:pPr>
              <w:tabs>
                <w:tab w:val="right" w:pos="2700"/>
              </w:tabs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John &amp; Jerry Wing Alexander Endowed Scholarship</w:t>
            </w:r>
            <w:r>
              <w:rPr>
                <w:rFonts w:ascii="Calibri" w:cs="Calibri" w:eastAsia="Calibri" w:hAnsi="Calibri"/>
                <w:color w:val="5A6B62"/>
                <w:sz w:val="18"/>
                <w:szCs w:val="18"/>
              </w:rPr>
              <w:t xml:space="preserve">	Spring 2024–25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Creative &amp; Production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Premiere Pro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After Effects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Illustrator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Photoshop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InDesign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Marketing &amp; Content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Social Content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Bilingual Copywriting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Email Marketing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Constant Contact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Salesforce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Languages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Spanish  ·  Native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English  ·  Advanced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French  ·  Beginner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2026-04-15T13:50:33.777Z</dcterms:created>
  <dcterms:modified xsi:type="dcterms:W3CDTF">2026-04-15T13:50:33.777Z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