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DDCB" w14:textId="77777777" w:rsidR="00C54F05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Marcos Artes</w:t>
      </w:r>
    </w:p>
    <w:p w14:paraId="2A1BB34D" w14:textId="77777777" w:rsidR="00C54F05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Integrated PR &amp; Advertising  ·  University of South Florida  ·  Bilingual: Spanish / English</w:t>
      </w:r>
    </w:p>
    <w:p w14:paraId="03BA62CC" w14:textId="57B85140" w:rsidR="00C54F05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(727) 688-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3279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marcosartes50@gmail.com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027E9F" w:rsidRPr="00027E9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027E9F" w:rsidRPr="00027E9F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marcosartes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206CED13" w14:textId="77777777" w:rsidR="00C54F05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0DCFB7E4" w14:textId="77777777" w:rsidR="00C54F05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Bilingual Integrated PR and Advertising candidate at the University of South Florida, fluent in Venezuelan Spanish and English, with a Dean's List academic record across two institutions and demonstrated leadership in public speaking and organizational communications. Seeking a Summer 2026 internship in public relations, bilingual content strategy, or multicultural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5"/>
        <w:gridCol w:w="19"/>
        <w:gridCol w:w="1646"/>
      </w:tblGrid>
      <w:tr w:rsidR="00C54F05" w14:paraId="6D9C654C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4CE4BF7" w14:textId="77777777" w:rsidR="00C54F0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Professional Involvement</w:t>
            </w:r>
          </w:p>
          <w:p w14:paraId="5E03A094" w14:textId="77777777" w:rsidR="00C54F0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Speaker and Debate Chair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Jun 2021 – May 2022</w:t>
            </w:r>
          </w:p>
          <w:p w14:paraId="4C342608" w14:textId="77777777" w:rsidR="00C54F0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PHU Spanish Honor Society  ·  Palm Harbor, FL</w:t>
            </w:r>
          </w:p>
          <w:p w14:paraId="07A3D9B3" w14:textId="77777777" w:rsidR="00C54F0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Facilitated bi-weekly debates and chapter meetings as elected Speaker, managing agenda, discussion flow, and participant engagement for a bilingual membership</w:t>
            </w:r>
          </w:p>
          <w:p w14:paraId="33E364DF" w14:textId="77777777" w:rsidR="00C54F0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public speaking and organizational communication skills through consistent leadership of formal and informal presentations in Spanish and English</w:t>
            </w:r>
          </w:p>
          <w:p w14:paraId="35A1855F" w14:textId="77777777" w:rsidR="00C54F05" w:rsidRDefault="00C54F05">
            <w:pPr>
              <w:spacing w:after="60"/>
            </w:pPr>
          </w:p>
          <w:p w14:paraId="1086567F" w14:textId="77777777" w:rsidR="00C54F0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Work Experience</w:t>
            </w:r>
          </w:p>
          <w:p w14:paraId="0CB0F678" w14:textId="77777777" w:rsidR="00C54F0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Server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2024 – Present</w:t>
            </w:r>
          </w:p>
          <w:p w14:paraId="7BEC1323" w14:textId="77777777" w:rsidR="00C54F0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Sushi Alive  ·  Tampa, FL</w:t>
            </w:r>
          </w:p>
          <w:p w14:paraId="2AA712BD" w14:textId="77777777" w:rsidR="00C54F0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Deliver attentive bilingual guest service in a fast-paced environment, consistently managing multiple tables and maintaining quality standards during peak service periods</w:t>
            </w:r>
          </w:p>
          <w:p w14:paraId="66869B39" w14:textId="77777777" w:rsidR="00C54F05" w:rsidRDefault="00C54F05">
            <w:pPr>
              <w:spacing w:after="40"/>
            </w:pPr>
          </w:p>
          <w:p w14:paraId="54FDCD3F" w14:textId="77777777" w:rsidR="00C54F0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Server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2022 – Jan 2024</w:t>
            </w:r>
          </w:p>
          <w:p w14:paraId="27B7C72D" w14:textId="77777777" w:rsidR="00C54F0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Olive Garden  ·  Tampa, FL</w:t>
            </w:r>
          </w:p>
          <w:p w14:paraId="5060C24B" w14:textId="77777777" w:rsidR="00C54F0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Provided consistent guest service in a high-volume restaurant environment while managing communication and coordination with kitchen and floor staff</w:t>
            </w:r>
          </w:p>
          <w:p w14:paraId="2B0A92E3" w14:textId="77777777" w:rsidR="00C54F05" w:rsidRDefault="00C54F05">
            <w:pPr>
              <w:spacing w:after="40"/>
            </w:pPr>
          </w:p>
          <w:p w14:paraId="4FB1C78F" w14:textId="77777777" w:rsidR="00C54F05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Retail Associate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2021 – Jan 2024</w:t>
            </w:r>
          </w:p>
          <w:p w14:paraId="7241A285" w14:textId="77777777" w:rsidR="00C54F0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Hollister Co.  ·  Tampa, FL</w:t>
            </w:r>
          </w:p>
          <w:p w14:paraId="5B04C5E5" w14:textId="77777777" w:rsidR="00C54F05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Served bilingual customers in a brand-focused retail environment, supporting sales and delivering consistent on-brand customer experience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8CC83" w14:textId="77777777" w:rsidR="00C54F05" w:rsidRDefault="00C54F05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53AB420" w14:textId="77777777" w:rsidR="00C54F0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681D1719" w14:textId="77777777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3F0C1471" w14:textId="77777777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4D78FE47" w14:textId="7F846155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Aug 2024 – </w:t>
            </w:r>
            <w:r w:rsidR="00027E9F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2026</w:t>
            </w:r>
          </w:p>
          <w:p w14:paraId="35BFD1B8" w14:textId="77777777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Dean's List Fall 2025</w:t>
            </w:r>
          </w:p>
          <w:p w14:paraId="1ADD5736" w14:textId="77777777" w:rsidR="00C54F05" w:rsidRDefault="00C54F05">
            <w:pPr>
              <w:spacing w:after="40"/>
            </w:pPr>
          </w:p>
          <w:p w14:paraId="38678484" w14:textId="77777777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of Arts  ·  Honors</w:t>
            </w:r>
          </w:p>
          <w:p w14:paraId="765383E2" w14:textId="77777777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St. Petersburg College</w:t>
            </w:r>
          </w:p>
          <w:p w14:paraId="7CF75D53" w14:textId="77777777" w:rsidR="00C54F05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2022 – May 2024</w:t>
            </w:r>
          </w:p>
          <w:p w14:paraId="38C42C78" w14:textId="77777777" w:rsidR="00C54F05" w:rsidRDefault="00C54F05">
            <w:pPr>
              <w:spacing w:after="60"/>
            </w:pPr>
          </w:p>
          <w:p w14:paraId="58EAC00C" w14:textId="77777777" w:rsidR="00C54F0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Awards</w:t>
            </w:r>
          </w:p>
          <w:p w14:paraId="40D67F00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Dean's List  ·  USF Fall 2025</w:t>
            </w:r>
          </w:p>
          <w:p w14:paraId="7FD2F964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Photography Honorable Mention</w:t>
            </w:r>
          </w:p>
          <w:p w14:paraId="5BB65BBA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5A6B62"/>
                <w:sz w:val="18"/>
                <w:szCs w:val="18"/>
              </w:rPr>
              <w:t xml:space="preserve">   Dynamic Dimensions PCS  2022</w:t>
            </w:r>
          </w:p>
          <w:p w14:paraId="7DE9C5B5" w14:textId="77777777" w:rsidR="00C54F05" w:rsidRDefault="00C54F05">
            <w:pPr>
              <w:spacing w:after="60"/>
            </w:pPr>
          </w:p>
          <w:p w14:paraId="0C52BA7A" w14:textId="77777777" w:rsidR="00C54F0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5CC88866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Spanish  ·  Native (Venezuelan)</w:t>
            </w:r>
          </w:p>
          <w:p w14:paraId="1425A618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English  ·  Advanced Native</w:t>
            </w:r>
          </w:p>
          <w:p w14:paraId="0361B5EC" w14:textId="77777777" w:rsidR="00C54F05" w:rsidRDefault="00C54F05">
            <w:pPr>
              <w:spacing w:after="60"/>
            </w:pPr>
          </w:p>
          <w:p w14:paraId="568CD1FC" w14:textId="77777777" w:rsidR="00C54F05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736093AD" w14:textId="77777777" w:rsidR="00C54F05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Content</w:t>
            </w:r>
          </w:p>
          <w:p w14:paraId="5B0E3999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Bilingual Copywriting</w:t>
            </w:r>
          </w:p>
          <w:p w14:paraId="4BC49632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Spanish Communications</w:t>
            </w:r>
          </w:p>
          <w:p w14:paraId="4FC2E06B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Public Speaking</w:t>
            </w:r>
          </w:p>
          <w:p w14:paraId="02284410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Media Writing</w:t>
            </w:r>
          </w:p>
          <w:p w14:paraId="5DC7CF76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Strategy</w:t>
            </w:r>
          </w:p>
          <w:p w14:paraId="556EBDCE" w14:textId="77777777" w:rsidR="00C54F05" w:rsidRDefault="00C54F05">
            <w:pPr>
              <w:spacing w:after="40"/>
            </w:pPr>
          </w:p>
          <w:p w14:paraId="147473D0" w14:textId="77777777" w:rsidR="00C54F05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Creative</w:t>
            </w:r>
          </w:p>
          <w:p w14:paraId="528B9C39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Photography</w:t>
            </w:r>
          </w:p>
          <w:p w14:paraId="50F5103F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Visual Storytelling</w:t>
            </w:r>
          </w:p>
          <w:p w14:paraId="647D1D0C" w14:textId="77777777" w:rsidR="00C54F05" w:rsidRDefault="00C54F05">
            <w:pPr>
              <w:spacing w:after="40"/>
            </w:pPr>
          </w:p>
          <w:p w14:paraId="2ED03F3C" w14:textId="77777777" w:rsidR="00C54F05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0616AD87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2F0BC785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PowerPoint</w:t>
            </w:r>
          </w:p>
          <w:p w14:paraId="71F20AFC" w14:textId="77777777" w:rsidR="00C54F05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Excel</w:t>
            </w:r>
          </w:p>
        </w:tc>
      </w:tr>
    </w:tbl>
    <w:p w14:paraId="23E70946" w14:textId="77777777" w:rsidR="00EF6E7E" w:rsidRDefault="00EF6E7E"/>
    <w:sectPr w:rsidR="00EF6E7E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660F"/>
    <w:multiLevelType w:val="hybridMultilevel"/>
    <w:tmpl w:val="481CCB52"/>
    <w:lvl w:ilvl="0" w:tplc="9F8A199E">
      <w:start w:val="1"/>
      <w:numFmt w:val="bullet"/>
      <w:lvlText w:val="•"/>
      <w:lvlJc w:val="left"/>
      <w:pPr>
        <w:ind w:left="400" w:hanging="200"/>
      </w:pPr>
    </w:lvl>
    <w:lvl w:ilvl="1" w:tplc="45589A7E">
      <w:numFmt w:val="decimal"/>
      <w:lvlText w:val=""/>
      <w:lvlJc w:val="left"/>
    </w:lvl>
    <w:lvl w:ilvl="2" w:tplc="50EAA20E">
      <w:numFmt w:val="decimal"/>
      <w:lvlText w:val=""/>
      <w:lvlJc w:val="left"/>
    </w:lvl>
    <w:lvl w:ilvl="3" w:tplc="855A7260">
      <w:numFmt w:val="decimal"/>
      <w:lvlText w:val=""/>
      <w:lvlJc w:val="left"/>
    </w:lvl>
    <w:lvl w:ilvl="4" w:tplc="542EF8D2">
      <w:numFmt w:val="decimal"/>
      <w:lvlText w:val=""/>
      <w:lvlJc w:val="left"/>
    </w:lvl>
    <w:lvl w:ilvl="5" w:tplc="53C07874">
      <w:numFmt w:val="decimal"/>
      <w:lvlText w:val=""/>
      <w:lvlJc w:val="left"/>
    </w:lvl>
    <w:lvl w:ilvl="6" w:tplc="58C4B166">
      <w:numFmt w:val="decimal"/>
      <w:lvlText w:val=""/>
      <w:lvlJc w:val="left"/>
    </w:lvl>
    <w:lvl w:ilvl="7" w:tplc="274E4836">
      <w:numFmt w:val="decimal"/>
      <w:lvlText w:val=""/>
      <w:lvlJc w:val="left"/>
    </w:lvl>
    <w:lvl w:ilvl="8" w:tplc="C7AC8630">
      <w:numFmt w:val="decimal"/>
      <w:lvlText w:val=""/>
      <w:lvlJc w:val="left"/>
    </w:lvl>
  </w:abstractNum>
  <w:abstractNum w:abstractNumId="1" w15:restartNumberingAfterBreak="0">
    <w:nsid w:val="3AE10538"/>
    <w:multiLevelType w:val="hybridMultilevel"/>
    <w:tmpl w:val="8E3E8152"/>
    <w:lvl w:ilvl="0" w:tplc="8A8EE612">
      <w:start w:val="1"/>
      <w:numFmt w:val="bullet"/>
      <w:lvlText w:val="●"/>
      <w:lvlJc w:val="left"/>
      <w:pPr>
        <w:ind w:left="720" w:hanging="360"/>
      </w:pPr>
    </w:lvl>
    <w:lvl w:ilvl="1" w:tplc="E6C83760">
      <w:start w:val="1"/>
      <w:numFmt w:val="bullet"/>
      <w:lvlText w:val="○"/>
      <w:lvlJc w:val="left"/>
      <w:pPr>
        <w:ind w:left="1440" w:hanging="360"/>
      </w:pPr>
    </w:lvl>
    <w:lvl w:ilvl="2" w:tplc="BDA6403A">
      <w:start w:val="1"/>
      <w:numFmt w:val="bullet"/>
      <w:lvlText w:val="■"/>
      <w:lvlJc w:val="left"/>
      <w:pPr>
        <w:ind w:left="2160" w:hanging="360"/>
      </w:pPr>
    </w:lvl>
    <w:lvl w:ilvl="3" w:tplc="3ACE68DE">
      <w:start w:val="1"/>
      <w:numFmt w:val="bullet"/>
      <w:lvlText w:val="●"/>
      <w:lvlJc w:val="left"/>
      <w:pPr>
        <w:ind w:left="2880" w:hanging="360"/>
      </w:pPr>
    </w:lvl>
    <w:lvl w:ilvl="4" w:tplc="658ABDF2">
      <w:start w:val="1"/>
      <w:numFmt w:val="bullet"/>
      <w:lvlText w:val="○"/>
      <w:lvlJc w:val="left"/>
      <w:pPr>
        <w:ind w:left="3600" w:hanging="360"/>
      </w:pPr>
    </w:lvl>
    <w:lvl w:ilvl="5" w:tplc="89CCEE2E">
      <w:start w:val="1"/>
      <w:numFmt w:val="bullet"/>
      <w:lvlText w:val="■"/>
      <w:lvlJc w:val="left"/>
      <w:pPr>
        <w:ind w:left="4320" w:hanging="360"/>
      </w:pPr>
    </w:lvl>
    <w:lvl w:ilvl="6" w:tplc="02E45D7E">
      <w:start w:val="1"/>
      <w:numFmt w:val="bullet"/>
      <w:lvlText w:val="●"/>
      <w:lvlJc w:val="left"/>
      <w:pPr>
        <w:ind w:left="5040" w:hanging="360"/>
      </w:pPr>
    </w:lvl>
    <w:lvl w:ilvl="7" w:tplc="37BA44C2">
      <w:start w:val="1"/>
      <w:numFmt w:val="bullet"/>
      <w:lvlText w:val="●"/>
      <w:lvlJc w:val="left"/>
      <w:pPr>
        <w:ind w:left="5760" w:hanging="360"/>
      </w:pPr>
    </w:lvl>
    <w:lvl w:ilvl="8" w:tplc="33E66BE6">
      <w:start w:val="1"/>
      <w:numFmt w:val="bullet"/>
      <w:lvlText w:val="●"/>
      <w:lvlJc w:val="left"/>
      <w:pPr>
        <w:ind w:left="6480" w:hanging="360"/>
      </w:pPr>
    </w:lvl>
  </w:abstractNum>
  <w:num w:numId="1" w16cid:durableId="1961498521">
    <w:abstractNumId w:val="1"/>
    <w:lvlOverride w:ilvl="0">
      <w:startOverride w:val="1"/>
    </w:lvlOverride>
  </w:num>
  <w:num w:numId="2" w16cid:durableId="20284842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05"/>
    <w:rsid w:val="00027E9F"/>
    <w:rsid w:val="00C54F05"/>
    <w:rsid w:val="00DB6770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BDE3"/>
  <w15:docId w15:val="{EFC38367-57C7-4EB8-A726-615984BA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7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arcosar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2026-06-01T01:19:00Z</dcterms:created>
  <dcterms:modified xsi:type="dcterms:W3CDTF">2026-06-01T01:19:00Z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095df5a2-45c3-4cee-b352-53bbc7b1c764</vt:lpwstr>
  </property>
</Properties>
</file>