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Jorie Cattaneo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Advertising &amp; Public Relations  ·  University of South Florida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630-538-6875  ·  JorieCattaneo@icloud.com  ·  linkedin.com/in/jorie-c  ·  Orlando / Tampa,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i w:val="false"/>
          <w:iCs w:val="false"/>
          <w:color w:val="374141"/>
          <w:sz w:val="21"/>
          <w:szCs w:val="21"/>
        </w:rPr>
        <w:t xml:space="preserve">Advertising and Public Relations candidate at the University of South Florida with hands-on experience in daily social media content production, client relations, and brand communications for a regional Aveda salon brand. Proficient in Brandwatch, Adobe Creative Suite, AP style writing, and Canva, and seeking a Summer 2026 internship in public relations, content strategy, or account coordination.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Social Media &amp; Client Relations Associate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Jan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Salon Norrell Aveda  ·  Carrollwood,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 daily social content calendar across Facebook and Instagram, maintaining a 7-post-per-week cadence for an active client base of 500+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Re-engage inactive clients through targeted phone and text outreach, averaging 30+ client reconnections per month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Compile daily performance reports tracking stylist sales and productivity across a 6-person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Deliver personalized product recommendations that support retail sales goals and strengthen client retention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Sales Associate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Nov 2023 – Jul 2024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The Riding Store  ·  Woodridge,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Guided customers through equestrian apparel and equipment selection using consultative selling techniques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Assisted management in evaluating new products for stocking based on customer purchasing trends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Coursework Projects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Brand Development  ·  Media Writing  ·  Visual Literacy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Developed full brand identity, strategy, and go-to-market execution plan for a new company concept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Wrote AP style press releases for newsworthy and promotional topics across multiple industries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Designed social media infographics and developed copy for an educational healthcare website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B.S. Advertising &amp; Public Relations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May 2027  ·  GPA 3.6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PR &amp; Content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PR 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AP Style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Copywriting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Content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Social Media Management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Brand Monitoring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Content Calendar Mgmt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Tools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Brandwatch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Illustrator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Photoshop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Canva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Wix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Microsoft Office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2026-04-15T13:50:33.495Z</dcterms:created>
  <dcterms:modified xsi:type="dcterms:W3CDTF">2026-04-15T13:50:33.496Z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