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a1a2e"/>
          <w:sz w:val="44"/>
          <w:szCs w:val="44"/>
        </w:rPr>
        <w:t xml:space="preserve">Carolyn Williams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8C7A2E"/>
          <w:sz w:val="20"/>
          <w:szCs w:val="20"/>
        </w:rPr>
        <w:t xml:space="preserve">Dean's List  ·  3 Consecutive Semesters  ·  GPA 3.87</w:t>
      </w:r>
    </w:p>
    <w:p>
      <w:pPr>
        <w:pBdr>
          <w:bottom w:val="single" w:color="006747" w:sz="8"/>
        </w:pBdr>
        <w:spacing w:after="40"/>
      </w:pPr>
      <w:r>
        <w:rPr>
          <w:rFonts w:ascii="Calibri" w:cs="Calibri" w:eastAsia="Calibri" w:hAnsi="Calibri"/>
          <w:caps/>
          <w:color w:val="5A6B62"/>
          <w:sz w:val="18"/>
          <w:szCs w:val="18"/>
        </w:rPr>
        <w:t xml:space="preserve">Creative Strategy &amp; PR  ·  USF  ·  Minor: Nutrition  ·  May 2027</w:t>
      </w:r>
    </w:p>
    <w:p>
      <w:pPr>
        <w:spacing w:after="120"/>
      </w:pPr>
      <w:r>
        <w:rPr>
          <w:rFonts w:ascii="Calibri" w:cs="Calibri" w:eastAsia="Calibri" w:hAnsi="Calibri"/>
          <w:color w:val="5A6B62"/>
          <w:sz w:val="19"/>
          <w:szCs w:val="19"/>
        </w:rPr>
        <w:t xml:space="preserve">(863) 430-5533  ·  williams.p.carolyn@gmail.com  ·  linkedin.com/in/carolynpwilliams  ·  Lakeland / Tampa, FL</w:t>
      </w:r>
    </w:p>
    <w:p>
      <w:pPr>
        <w:pBdr>
          <w:bottom w:val="single" w:color="1a1a2e" w:sz="12"/>
        </w:pBdr>
        <w:spacing w:after="60" w:before="160"/>
      </w:pPr>
      <w:r>
        <w:rPr>
          <w:rFonts w:ascii="Calibri" w:cs="Calibri" w:eastAsia="Calibri" w:hAnsi="Calibri"/>
          <w:b/>
          <w:bCs/>
          <w:caps/>
          <w:color w:val="1a1a2e"/>
          <w:sz w:val="19"/>
          <w:szCs w:val="19"/>
        </w:rPr>
        <w:t xml:space="preserve">Professional Summary</w:t>
      </w:r>
    </w:p>
    <w:p>
      <w:pPr>
        <w:spacing w:after="180"/>
      </w:pPr>
      <w:r>
        <w:rPr>
          <w:rFonts w:ascii="Calibri" w:cs="Calibri" w:eastAsia="Calibri" w:hAnsi="Calibri"/>
          <w:color w:val="374141"/>
          <w:sz w:val="21"/>
          <w:szCs w:val="21"/>
        </w:rPr>
        <w:t xml:space="preserve">Integrated PR and Advertising candidate at USF (GPA 3.87, three consecutive Dean's List semesters) with a current remote creative strategy internship at Vann Rayeux in Los Angeles, gallery internship experience at USF Centre Gallery, and event production at the USF Marshall Student Center. Minor in Nutrition — a distinctive credential for health, wellness, and lifestyle brand marketing. Proficient in Adobe Photoshop, Illustrator, InDesign, Express, and Canva. Seeking a Summer 2026 internship in creative strategy, PR, or brand marketing.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6360"/>
        <w:gridCol w:w="120"/>
        <w:gridCol w:w="2880"/>
      </w:tblGrid>
      <w:tr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Experience</w:t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Creative Strategy &amp; Production Intern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Jan 2026 – May 2026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Vann Rayeux  ·  Los Angeles, CA (Remote)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Develop creative strategies for Vann Rayeux and The Rayeux Lounge brand campaigns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Manage weekly social media posts for both brand accounts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Research online trends and consumer data to enhance campaign content and strategy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Collaborate with PR, social media, and design teams to execute integrated campaigns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Gallery Intern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Aug 2025 – Dec 2025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USF Centre Gallery  · 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Checked in, directed, and advertised to gallery visitors; informed guests of bi-weekly artists, activities, and upcoming events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Installed bi-weekly art exhibitions and hosted exhibition opening events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Event Staff &amp; Event Crew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Jan 2025 – Present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USF Marshall Student Center  · 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Communicate with clients to ensure event needs are met accurately and efficiently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Manage event logistics with coworkers to produce successful events for clients and guests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Work in a team to set up and break down rooms efficiently, solving problems with event configurations as they arise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  <w:r>
              <w:t xml:space="preserve"/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B.S. Integrated PR &amp; Advertising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Minor: Nutrition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University of South Florida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Expected May 2027  ·  GPA 3.87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Honors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Dean's List  ·  Fall 2024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Dean's List  ·  Spring 2025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Dean's List  ·  Fall 2025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Involvement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American Advertising Federation  ·  USF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Skills</w:t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Creative &amp; Design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Adobe Photoshop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Adobe Illustrator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Adobe InDesign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Adobe Express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Canva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InShot Video Editor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Research &amp; Strategy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Focus Group Moderator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Survey Researcher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Consumer Data Analysis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Brand Management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Campaign Strategy</w:t>
            </w:r>
          </w:p>
        </w:tc>
      </w:tr>
    </w:tbl>
    <w:sectPr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2026-04-18T12:59:07.691Z</dcterms:created>
  <dcterms:modified xsi:type="dcterms:W3CDTF">2026-04-18T12:59:07.692Z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