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379C" w14:textId="2CBABAE9" w:rsidR="00056DBF" w:rsidRDefault="00056DBF" w:rsidP="00056DBF">
      <w:r>
        <w:rPr>
          <w:noProof/>
        </w:rPr>
        <w:drawing>
          <wp:anchor distT="0" distB="0" distL="114300" distR="114300" simplePos="0" relativeHeight="251658240" behindDoc="1" locked="0" layoutInCell="1" allowOverlap="1" wp14:anchorId="6DE07EF7" wp14:editId="02DB81DF">
            <wp:simplePos x="0" y="0"/>
            <wp:positionH relativeFrom="margin">
              <wp:posOffset>-457200</wp:posOffset>
            </wp:positionH>
            <wp:positionV relativeFrom="paragraph">
              <wp:posOffset>-518795</wp:posOffset>
            </wp:positionV>
            <wp:extent cx="2095500" cy="2095500"/>
            <wp:effectExtent l="0" t="0" r="0" b="0"/>
            <wp:wrapNone/>
            <wp:docPr id="950571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7162" name="Grafik 950571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anchor>
        </w:drawing>
      </w:r>
    </w:p>
    <w:p w14:paraId="24718EC0" w14:textId="77777777" w:rsidR="00995315" w:rsidRPr="00995315" w:rsidRDefault="00995315" w:rsidP="00056DBF">
      <w:pPr>
        <w:jc w:val="center"/>
        <w:rPr>
          <w:b/>
          <w:bCs/>
          <w:sz w:val="36"/>
          <w:szCs w:val="36"/>
          <w:u w:val="single"/>
        </w:rPr>
      </w:pPr>
      <w:r w:rsidRPr="00995315">
        <w:rPr>
          <w:b/>
          <w:bCs/>
          <w:sz w:val="36"/>
          <w:szCs w:val="36"/>
          <w:u w:val="single"/>
        </w:rPr>
        <w:t>Der Schlosswechsel</w:t>
      </w:r>
    </w:p>
    <w:p w14:paraId="14DDB215" w14:textId="0D2375F9" w:rsidR="00056DBF" w:rsidRPr="00995315" w:rsidRDefault="00995315" w:rsidP="00056DBF">
      <w:pPr>
        <w:jc w:val="center"/>
        <w:rPr>
          <w:b/>
          <w:bCs/>
          <w:sz w:val="36"/>
          <w:szCs w:val="36"/>
          <w:u w:val="single"/>
        </w:rPr>
      </w:pPr>
      <w:r w:rsidRPr="00995315">
        <w:rPr>
          <w:b/>
          <w:bCs/>
          <w:sz w:val="36"/>
          <w:szCs w:val="36"/>
          <w:u w:val="single"/>
        </w:rPr>
        <w:t xml:space="preserve"> und der Zylindertausch</w:t>
      </w:r>
    </w:p>
    <w:p w14:paraId="2871DE3D" w14:textId="77777777" w:rsidR="00056DBF" w:rsidRDefault="00056DBF" w:rsidP="00056DBF"/>
    <w:p w14:paraId="42CD1CE9" w14:textId="77777777" w:rsidR="00056DBF" w:rsidRDefault="00056DBF" w:rsidP="00056DBF"/>
    <w:p w14:paraId="5E50F466" w14:textId="6184E835" w:rsidR="00056DBF" w:rsidRPr="00056DBF" w:rsidRDefault="00056DBF" w:rsidP="00056DBF">
      <w:r w:rsidRPr="00056DBF">
        <w:t xml:space="preserve">Beim </w:t>
      </w:r>
      <w:r w:rsidRPr="00056DBF">
        <w:rPr>
          <w:b/>
          <w:bCs/>
        </w:rPr>
        <w:t>Schlosswechsel</w:t>
      </w:r>
      <w:r w:rsidRPr="00056DBF">
        <w:t xml:space="preserve"> oder </w:t>
      </w:r>
      <w:r w:rsidRPr="00056DBF">
        <w:rPr>
          <w:b/>
          <w:bCs/>
        </w:rPr>
        <w:t>Zylindertausch</w:t>
      </w:r>
      <w:r w:rsidRPr="00056DBF">
        <w:t xml:space="preserve"> schlüpfen Sie in die Rolle des Sicherheitsberaters. Hier geht es nicht nur um eine handwerkliche Dienstleistung, sondern um das Gefühl von Sicherheit und den Schutz des privaten Rückzugsorts.</w:t>
      </w:r>
    </w:p>
    <w:p w14:paraId="62BCCD69" w14:textId="77777777" w:rsidR="00056DBF" w:rsidRPr="00056DBF" w:rsidRDefault="00056DBF" w:rsidP="00056DBF">
      <w:r w:rsidRPr="00056DBF">
        <w:t>So erklären Sie dem Kunden den Prozess professionell und räumen Bedenken (z. B. wegen der Kosten oder der Sicherheit) direkt aus:</w:t>
      </w:r>
    </w:p>
    <w:p w14:paraId="0021259E" w14:textId="77777777" w:rsidR="00056DBF" w:rsidRPr="00056DBF" w:rsidRDefault="00056DBF" w:rsidP="00056DBF">
      <w:r w:rsidRPr="00056DBF">
        <w:pict w14:anchorId="6DF4301A">
          <v:rect id="_x0000_i1037" style="width:0;height:1.5pt" o:hralign="center" o:hrstd="t" o:hr="t" fillcolor="#a0a0a0" stroked="f"/>
        </w:pict>
      </w:r>
    </w:p>
    <w:p w14:paraId="12ACC42A" w14:textId="77777777" w:rsidR="00056DBF" w:rsidRPr="00056DBF" w:rsidRDefault="00056DBF" w:rsidP="00056DBF">
      <w:pPr>
        <w:rPr>
          <w:b/>
          <w:bCs/>
        </w:rPr>
      </w:pPr>
      <w:r w:rsidRPr="00056DBF">
        <w:rPr>
          <w:b/>
          <w:bCs/>
        </w:rPr>
        <w:t>1. Die Bedarfsanalyse (Warum tauschen wir?)</w:t>
      </w:r>
    </w:p>
    <w:p w14:paraId="08EE47B8" w14:textId="77777777" w:rsidR="00056DBF" w:rsidRPr="00056DBF" w:rsidRDefault="00056DBF" w:rsidP="00056DBF">
      <w:r w:rsidRPr="00056DBF">
        <w:t>Klären Sie zuerst den Grund. Das bestimmt Ihre Argumentation:</w:t>
      </w:r>
    </w:p>
    <w:p w14:paraId="38421220" w14:textId="77777777" w:rsidR="00056DBF" w:rsidRPr="00056DBF" w:rsidRDefault="00056DBF" w:rsidP="00056DBF">
      <w:pPr>
        <w:numPr>
          <w:ilvl w:val="0"/>
          <w:numId w:val="1"/>
        </w:numPr>
      </w:pPr>
      <w:r w:rsidRPr="00056DBF">
        <w:rPr>
          <w:b/>
          <w:bCs/>
        </w:rPr>
        <w:t>Defekt/Verschleiß:</w:t>
      </w:r>
      <w:r w:rsidRPr="00056DBF">
        <w:t xml:space="preserve"> „Der Zylinder hakt, weil die internen Kernstifte abgenutzt sind. Ein Tropfen Öl hilft hier nicht mehr, das Material ist am Ende.“</w:t>
      </w:r>
    </w:p>
    <w:p w14:paraId="59BE2F12" w14:textId="77777777" w:rsidR="00056DBF" w:rsidRPr="00056DBF" w:rsidRDefault="00056DBF" w:rsidP="00056DBF">
      <w:pPr>
        <w:numPr>
          <w:ilvl w:val="0"/>
          <w:numId w:val="1"/>
        </w:numPr>
      </w:pPr>
      <w:r w:rsidRPr="00056DBF">
        <w:rPr>
          <w:b/>
          <w:bCs/>
        </w:rPr>
        <w:t>Schlüsselverlust:</w:t>
      </w:r>
      <w:r w:rsidRPr="00056DBF">
        <w:t xml:space="preserve"> „Um sicherzugehen, dass niemand mit dem verlorenen Schlüssel Zutritt hat, tauschen wir den Zylinder aus. Das ist günstiger als eine neue Tür.“</w:t>
      </w:r>
    </w:p>
    <w:p w14:paraId="7020A299" w14:textId="77777777" w:rsidR="00056DBF" w:rsidRPr="00056DBF" w:rsidRDefault="00056DBF" w:rsidP="00056DBF">
      <w:pPr>
        <w:numPr>
          <w:ilvl w:val="0"/>
          <w:numId w:val="1"/>
        </w:numPr>
      </w:pPr>
      <w:r w:rsidRPr="00056DBF">
        <w:rPr>
          <w:b/>
          <w:bCs/>
        </w:rPr>
        <w:t>Sicherheits-Upgrade:</w:t>
      </w:r>
      <w:r w:rsidRPr="00056DBF">
        <w:t xml:space="preserve"> „Ihr aktueller Zylinder hat keinen Bohrschutz. Ein Einbrecher hätte ihn in Sekunden überwunden.“</w:t>
      </w:r>
    </w:p>
    <w:p w14:paraId="2F0AB85A" w14:textId="77777777" w:rsidR="00056DBF" w:rsidRPr="00056DBF" w:rsidRDefault="00056DBF" w:rsidP="00056DBF">
      <w:pPr>
        <w:rPr>
          <w:b/>
          <w:bCs/>
        </w:rPr>
      </w:pPr>
      <w:r w:rsidRPr="00056DBF">
        <w:rPr>
          <w:b/>
          <w:bCs/>
        </w:rPr>
        <w:t>2. Die Vermessung (Präzision zeigen)</w:t>
      </w:r>
    </w:p>
    <w:p w14:paraId="494F1668" w14:textId="77777777" w:rsidR="00056DBF" w:rsidRPr="00056DBF" w:rsidRDefault="00056DBF" w:rsidP="00056DBF">
      <w:r w:rsidRPr="00056DBF">
        <w:t>Demonstrieren Sie, dass es auf Millimeterarbeit ankommt.</w:t>
      </w:r>
    </w:p>
    <w:p w14:paraId="7A1B7915" w14:textId="77777777" w:rsidR="00056DBF" w:rsidRPr="00056DBF" w:rsidRDefault="00056DBF" w:rsidP="00056DBF">
      <w:pPr>
        <w:numPr>
          <w:ilvl w:val="0"/>
          <w:numId w:val="2"/>
        </w:numPr>
      </w:pPr>
      <w:r w:rsidRPr="00056DBF">
        <w:rPr>
          <w:b/>
          <w:bCs/>
        </w:rPr>
        <w:t>Das Ausmessen:</w:t>
      </w:r>
      <w:r w:rsidRPr="00056DBF">
        <w:t xml:space="preserve"> „Ich messe den Zylinder von der Mitte der </w:t>
      </w:r>
      <w:proofErr w:type="spellStart"/>
      <w:r w:rsidRPr="00056DBF">
        <w:t>Stulpschraube</w:t>
      </w:r>
      <w:proofErr w:type="spellEnd"/>
      <w:r w:rsidRPr="00056DBF">
        <w:t xml:space="preserve"> nach außen und innen. Ein Zylinder darf maximal </w:t>
      </w:r>
      <w:r w:rsidRPr="00056DBF">
        <w:rPr>
          <w:b/>
          <w:bCs/>
        </w:rPr>
        <w:t>3 mm</w:t>
      </w:r>
      <w:r w:rsidRPr="00056DBF">
        <w:t xml:space="preserve"> über den Beschlag hinausragen, sonst bietet er Angriffsfläche für Einbrecher (Abbrechen/Ziehen).“</w:t>
      </w:r>
    </w:p>
    <w:p w14:paraId="0B010AA6" w14:textId="77777777" w:rsidR="00056DBF" w:rsidRPr="00056DBF" w:rsidRDefault="00056DBF" w:rsidP="00056DBF">
      <w:pPr>
        <w:numPr>
          <w:ilvl w:val="0"/>
          <w:numId w:val="2"/>
        </w:numPr>
      </w:pPr>
      <w:r w:rsidRPr="00056DBF">
        <w:rPr>
          <w:b/>
          <w:bCs/>
        </w:rPr>
        <w:t>Überstand vermeiden:</w:t>
      </w:r>
      <w:r w:rsidRPr="00056DBF">
        <w:t xml:space="preserve"> „Wir wählen die exakte Länge, damit der Zylinder bündig mit Ihrer Schutzrosette abschließt.“</w:t>
      </w:r>
    </w:p>
    <w:p w14:paraId="3BC2C574" w14:textId="77777777" w:rsidR="00056DBF" w:rsidRDefault="00056DBF" w:rsidP="00056DBF">
      <w:pPr>
        <w:rPr>
          <w:b/>
          <w:bCs/>
        </w:rPr>
      </w:pPr>
    </w:p>
    <w:p w14:paraId="2225A3B0" w14:textId="77777777" w:rsidR="00056DBF" w:rsidRDefault="00056DBF" w:rsidP="00056DBF">
      <w:pPr>
        <w:rPr>
          <w:b/>
          <w:bCs/>
        </w:rPr>
      </w:pPr>
    </w:p>
    <w:p w14:paraId="7E8B2D91" w14:textId="77777777" w:rsidR="00056DBF" w:rsidRDefault="00056DBF" w:rsidP="00056DBF">
      <w:pPr>
        <w:rPr>
          <w:b/>
          <w:bCs/>
        </w:rPr>
      </w:pPr>
    </w:p>
    <w:p w14:paraId="4E62DF6A" w14:textId="77777777" w:rsidR="00056DBF" w:rsidRDefault="00056DBF" w:rsidP="00056DBF">
      <w:pPr>
        <w:rPr>
          <w:b/>
          <w:bCs/>
        </w:rPr>
      </w:pPr>
    </w:p>
    <w:p w14:paraId="54E17265" w14:textId="77777777" w:rsidR="00056DBF" w:rsidRDefault="00056DBF" w:rsidP="00056DBF">
      <w:pPr>
        <w:rPr>
          <w:b/>
          <w:bCs/>
        </w:rPr>
      </w:pPr>
    </w:p>
    <w:p w14:paraId="42024B0F" w14:textId="51DAE073" w:rsidR="00056DBF" w:rsidRPr="00056DBF" w:rsidRDefault="00056DBF" w:rsidP="00056DBF">
      <w:pPr>
        <w:rPr>
          <w:b/>
          <w:bCs/>
        </w:rPr>
      </w:pPr>
      <w:r w:rsidRPr="00056DBF">
        <w:rPr>
          <w:b/>
          <w:bCs/>
        </w:rPr>
        <w:t>3. Die Wahl des richtigen Zylinders</w:t>
      </w:r>
    </w:p>
    <w:p w14:paraId="6D066699" w14:textId="77777777" w:rsidR="00056DBF" w:rsidRPr="00056DBF" w:rsidRDefault="00056DBF" w:rsidP="00056DBF">
      <w:r w:rsidRPr="00056DBF">
        <w:t>Erklären Sie die Unterschiede, um den Preis transparent zu machen.</w:t>
      </w:r>
    </w:p>
    <w:tbl>
      <w:tblPr>
        <w:tblStyle w:val="Gitternetztabelle5dunkelAkzent4"/>
        <w:tblW w:w="0" w:type="auto"/>
        <w:tblLook w:val="04A0" w:firstRow="1" w:lastRow="0" w:firstColumn="1" w:lastColumn="0" w:noHBand="0" w:noVBand="1"/>
      </w:tblPr>
      <w:tblGrid>
        <w:gridCol w:w="2434"/>
        <w:gridCol w:w="6592"/>
      </w:tblGrid>
      <w:tr w:rsidR="00056DBF" w:rsidRPr="00056DBF" w14:paraId="1F377BA6" w14:textId="77777777" w:rsidTr="00126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auto"/>
              <w:left w:val="single" w:sz="18" w:space="0" w:color="auto"/>
            </w:tcBorders>
            <w:hideMark/>
          </w:tcPr>
          <w:p w14:paraId="299AE7DB" w14:textId="77777777" w:rsidR="00056DBF" w:rsidRPr="00056DBF" w:rsidRDefault="00056DBF" w:rsidP="00056DBF">
            <w:pPr>
              <w:spacing w:after="160" w:line="278" w:lineRule="auto"/>
              <w:jc w:val="center"/>
            </w:pPr>
            <w:r w:rsidRPr="00056DBF">
              <w:t>Merkmal</w:t>
            </w:r>
          </w:p>
        </w:tc>
        <w:tc>
          <w:tcPr>
            <w:tcW w:w="0" w:type="auto"/>
            <w:tcBorders>
              <w:top w:val="single" w:sz="18" w:space="0" w:color="auto"/>
              <w:right w:val="single" w:sz="18" w:space="0" w:color="auto"/>
            </w:tcBorders>
            <w:hideMark/>
          </w:tcPr>
          <w:p w14:paraId="36BD822B" w14:textId="77777777" w:rsidR="00056DBF" w:rsidRPr="00056DBF" w:rsidRDefault="00056DBF" w:rsidP="00056DBF">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056DBF">
              <w:t>Kundennutzen (Ihre Argumentation)</w:t>
            </w:r>
          </w:p>
        </w:tc>
      </w:tr>
      <w:tr w:rsidR="00056DBF" w:rsidRPr="00056DBF" w14:paraId="2ABBFC58" w14:textId="77777777" w:rsidTr="0012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auto"/>
            </w:tcBorders>
            <w:hideMark/>
          </w:tcPr>
          <w:p w14:paraId="2E8F427B" w14:textId="77777777" w:rsidR="00056DBF" w:rsidRPr="00056DBF" w:rsidRDefault="00056DBF" w:rsidP="00056DBF">
            <w:pPr>
              <w:spacing w:after="160" w:line="278" w:lineRule="auto"/>
              <w:jc w:val="center"/>
            </w:pPr>
            <w:r w:rsidRPr="00056DBF">
              <w:t>Not- &amp; Gefahrenfunktion</w:t>
            </w:r>
          </w:p>
        </w:tc>
        <w:tc>
          <w:tcPr>
            <w:tcW w:w="0" w:type="auto"/>
            <w:tcBorders>
              <w:right w:val="single" w:sz="18" w:space="0" w:color="auto"/>
            </w:tcBorders>
            <w:hideMark/>
          </w:tcPr>
          <w:p w14:paraId="48F644D8" w14:textId="77777777" w:rsidR="00056DBF" w:rsidRPr="00056DBF" w:rsidRDefault="00056DBF" w:rsidP="00056DBF">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056DBF">
              <w:t>„Sie können von außen aufschließen, selbst wenn innen ein Schlüssel steckt. Das rettet im Notfall Leben oder spart den Schlüsseldienst.“</w:t>
            </w:r>
          </w:p>
        </w:tc>
      </w:tr>
      <w:tr w:rsidR="00056DBF" w:rsidRPr="00056DBF" w14:paraId="375E9C89" w14:textId="77777777" w:rsidTr="001269BC">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auto"/>
            </w:tcBorders>
            <w:hideMark/>
          </w:tcPr>
          <w:p w14:paraId="08CC88B3" w14:textId="77777777" w:rsidR="00056DBF" w:rsidRPr="00056DBF" w:rsidRDefault="00056DBF" w:rsidP="00056DBF">
            <w:pPr>
              <w:spacing w:after="160" w:line="278" w:lineRule="auto"/>
              <w:jc w:val="center"/>
            </w:pPr>
            <w:r w:rsidRPr="00056DBF">
              <w:t>Bohr- &amp; Ziehschutz</w:t>
            </w:r>
          </w:p>
        </w:tc>
        <w:tc>
          <w:tcPr>
            <w:tcW w:w="0" w:type="auto"/>
            <w:tcBorders>
              <w:right w:val="single" w:sz="18" w:space="0" w:color="auto"/>
            </w:tcBorders>
            <w:hideMark/>
          </w:tcPr>
          <w:p w14:paraId="29A4EE81" w14:textId="77777777" w:rsidR="00056DBF" w:rsidRPr="00056DBF" w:rsidRDefault="00056DBF" w:rsidP="00056DBF">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056DBF">
              <w:t>„Gehärtete Stahlstifte im Inneren verhindern, dass ein Einbrecher den Zylinder einfach aufbohren kann.“</w:t>
            </w:r>
          </w:p>
        </w:tc>
      </w:tr>
      <w:tr w:rsidR="00056DBF" w:rsidRPr="00056DBF" w14:paraId="2490ED04" w14:textId="77777777" w:rsidTr="00126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auto"/>
            </w:tcBorders>
            <w:hideMark/>
          </w:tcPr>
          <w:p w14:paraId="43A80D29" w14:textId="77777777" w:rsidR="00056DBF" w:rsidRPr="00056DBF" w:rsidRDefault="00056DBF" w:rsidP="00056DBF">
            <w:pPr>
              <w:spacing w:after="160" w:line="278" w:lineRule="auto"/>
              <w:jc w:val="center"/>
            </w:pPr>
            <w:r w:rsidRPr="00056DBF">
              <w:t>Sicherungskarte</w:t>
            </w:r>
          </w:p>
        </w:tc>
        <w:tc>
          <w:tcPr>
            <w:tcW w:w="0" w:type="auto"/>
            <w:tcBorders>
              <w:right w:val="single" w:sz="18" w:space="0" w:color="auto"/>
            </w:tcBorders>
            <w:hideMark/>
          </w:tcPr>
          <w:p w14:paraId="210DAC1F" w14:textId="77777777" w:rsidR="00056DBF" w:rsidRPr="00056DBF" w:rsidRDefault="00056DBF" w:rsidP="00056DBF">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056DBF">
              <w:t>„Ohne diese Karte kann niemand heimlich einen Schlüssel nachmachen – volle Kontrolle für Sie.“</w:t>
            </w:r>
          </w:p>
        </w:tc>
      </w:tr>
      <w:tr w:rsidR="00056DBF" w:rsidRPr="00056DBF" w14:paraId="13918CFE" w14:textId="77777777" w:rsidTr="001269BC">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auto"/>
              <w:bottom w:val="single" w:sz="18" w:space="0" w:color="auto"/>
            </w:tcBorders>
            <w:hideMark/>
          </w:tcPr>
          <w:p w14:paraId="66E17E6E" w14:textId="77777777" w:rsidR="00056DBF" w:rsidRPr="00056DBF" w:rsidRDefault="00056DBF" w:rsidP="00056DBF">
            <w:pPr>
              <w:spacing w:after="160" w:line="278" w:lineRule="auto"/>
              <w:jc w:val="center"/>
            </w:pPr>
            <w:proofErr w:type="spellStart"/>
            <w:r w:rsidRPr="00056DBF">
              <w:t>Modularbauweise</w:t>
            </w:r>
            <w:proofErr w:type="spellEnd"/>
          </w:p>
        </w:tc>
        <w:tc>
          <w:tcPr>
            <w:tcW w:w="0" w:type="auto"/>
            <w:tcBorders>
              <w:bottom w:val="single" w:sz="18" w:space="0" w:color="auto"/>
              <w:right w:val="single" w:sz="18" w:space="0" w:color="auto"/>
            </w:tcBorders>
            <w:hideMark/>
          </w:tcPr>
          <w:p w14:paraId="73BC22D7" w14:textId="77777777" w:rsidR="00056DBF" w:rsidRPr="00056DBF" w:rsidRDefault="00056DBF" w:rsidP="00056DBF">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056DBF">
              <w:t>„Sollten Sie mal umziehen, kann ich diesen Zylinder auf das Maß der neuen Tür umbauen.“</w:t>
            </w:r>
          </w:p>
        </w:tc>
      </w:tr>
    </w:tbl>
    <w:p w14:paraId="21F582AA" w14:textId="77777777" w:rsidR="00DE0B4A" w:rsidRDefault="00DE0B4A" w:rsidP="00056DBF">
      <w:pPr>
        <w:rPr>
          <w:b/>
          <w:bCs/>
        </w:rPr>
      </w:pPr>
    </w:p>
    <w:p w14:paraId="51DA9B8D" w14:textId="53348C41" w:rsidR="00056DBF" w:rsidRPr="00056DBF" w:rsidRDefault="00056DBF" w:rsidP="00056DBF">
      <w:pPr>
        <w:rPr>
          <w:b/>
          <w:bCs/>
        </w:rPr>
      </w:pPr>
      <w:r w:rsidRPr="00056DBF">
        <w:rPr>
          <w:b/>
          <w:bCs/>
        </w:rPr>
        <w:t>4. Der Einbau-Prozess (Schritt-für-Schritt)</w:t>
      </w:r>
    </w:p>
    <w:p w14:paraId="4A8E61AA" w14:textId="77777777" w:rsidR="00056DBF" w:rsidRPr="00056DBF" w:rsidRDefault="00056DBF" w:rsidP="00056DBF">
      <w:r w:rsidRPr="00056DBF">
        <w:t>Erklären Sie kurz, was Sie tun, während Sie arbeiten:</w:t>
      </w:r>
    </w:p>
    <w:p w14:paraId="534590BF" w14:textId="77777777" w:rsidR="00056DBF" w:rsidRPr="00056DBF" w:rsidRDefault="00056DBF" w:rsidP="00056DBF">
      <w:pPr>
        <w:numPr>
          <w:ilvl w:val="0"/>
          <w:numId w:val="3"/>
        </w:numPr>
      </w:pPr>
      <w:r w:rsidRPr="00056DBF">
        <w:rPr>
          <w:b/>
          <w:bCs/>
        </w:rPr>
        <w:t>Demontage:</w:t>
      </w:r>
      <w:r w:rsidRPr="00056DBF">
        <w:t xml:space="preserve"> „Ich löse die </w:t>
      </w:r>
      <w:proofErr w:type="spellStart"/>
      <w:r w:rsidRPr="00056DBF">
        <w:t>Stulpschraube</w:t>
      </w:r>
      <w:proofErr w:type="spellEnd"/>
      <w:r w:rsidRPr="00056DBF">
        <w:t xml:space="preserve"> an der Seite der Tür. Jetzt lässt sich der alte Zylinder mit dem passenden Schlüssel entnehmen.“</w:t>
      </w:r>
    </w:p>
    <w:p w14:paraId="2ECECEFF" w14:textId="77777777" w:rsidR="00056DBF" w:rsidRPr="00056DBF" w:rsidRDefault="00056DBF" w:rsidP="00056DBF">
      <w:pPr>
        <w:numPr>
          <w:ilvl w:val="0"/>
          <w:numId w:val="3"/>
        </w:numPr>
      </w:pPr>
      <w:r w:rsidRPr="00056DBF">
        <w:rPr>
          <w:b/>
          <w:bCs/>
        </w:rPr>
        <w:t>Reinigung/Prüfung:</w:t>
      </w:r>
      <w:r w:rsidRPr="00056DBF">
        <w:t xml:space="preserve"> „Ich schaue kurz in die Einsteckschloss-Tasche, ob die Mechanik noch leichtgängig ist.“</w:t>
      </w:r>
    </w:p>
    <w:p w14:paraId="4EE7DDC9" w14:textId="77777777" w:rsidR="00056DBF" w:rsidRPr="00056DBF" w:rsidRDefault="00056DBF" w:rsidP="00056DBF">
      <w:pPr>
        <w:numPr>
          <w:ilvl w:val="0"/>
          <w:numId w:val="3"/>
        </w:numPr>
      </w:pPr>
      <w:r w:rsidRPr="00056DBF">
        <w:rPr>
          <w:b/>
          <w:bCs/>
        </w:rPr>
        <w:t>Montage:</w:t>
      </w:r>
      <w:r w:rsidRPr="00056DBF">
        <w:t xml:space="preserve"> „Der neue Zylinder wird eingesetzt. Wichtig: Die Schraube ziehe ich nur handfest an, damit der Zylinder nicht unter Spannung steht und später klemmt.“</w:t>
      </w:r>
    </w:p>
    <w:p w14:paraId="303436FF" w14:textId="77777777" w:rsidR="00056DBF" w:rsidRPr="00056DBF" w:rsidRDefault="00056DBF" w:rsidP="00056DBF">
      <w:pPr>
        <w:numPr>
          <w:ilvl w:val="0"/>
          <w:numId w:val="3"/>
        </w:numPr>
      </w:pPr>
      <w:r w:rsidRPr="00056DBF">
        <w:rPr>
          <w:b/>
          <w:bCs/>
        </w:rPr>
        <w:t>Funktionstest:</w:t>
      </w:r>
      <w:r w:rsidRPr="00056DBF">
        <w:t xml:space="preserve"> „Wir testen den neuen Schlüssel jetzt mehrfach bei offener und geschlossener Tür.“</w:t>
      </w:r>
    </w:p>
    <w:p w14:paraId="5E2E9958" w14:textId="77777777" w:rsidR="00056DBF" w:rsidRPr="00056DBF" w:rsidRDefault="00056DBF" w:rsidP="00056DBF">
      <w:r w:rsidRPr="00056DBF">
        <w:pict w14:anchorId="4BE654D3">
          <v:rect id="_x0000_i1038" style="width:0;height:1.5pt" o:hralign="center" o:hrstd="t" o:hr="t" fillcolor="#a0a0a0" stroked="f"/>
        </w:pict>
      </w:r>
    </w:p>
    <w:p w14:paraId="3CBDB476" w14:textId="77777777" w:rsidR="00056DBF" w:rsidRPr="00056DBF" w:rsidRDefault="00056DBF" w:rsidP="00056DBF">
      <w:pPr>
        <w:rPr>
          <w:b/>
          <w:bCs/>
        </w:rPr>
      </w:pPr>
      <w:r w:rsidRPr="00056DBF">
        <w:rPr>
          <w:b/>
          <w:bCs/>
        </w:rPr>
        <w:t>Ein Beispiel-Satz für das Gespräch:</w:t>
      </w:r>
    </w:p>
    <w:p w14:paraId="54C0F77F" w14:textId="77777777" w:rsidR="00056DBF" w:rsidRPr="00056DBF" w:rsidRDefault="00056DBF" w:rsidP="00056DBF">
      <w:r w:rsidRPr="00056DBF">
        <w:t>„Ich empfehle Ihnen diesen Zylinder mit Wendeschlüsselsystem. Er hat eine Not- und Gefahrenfunktion – falls Ihr Partner mal den Schlüssel stecken lässt, kommen Sie trotzdem rein. Zudem hat er einen zertifizierten Bohrschutz. Ich messe jetzt die exakte Länge aus, damit er perfekt mit Ihrem Türbeschlag abschließt und keine Angriffsfläche für Werkzeuge bietet.“</w:t>
      </w:r>
    </w:p>
    <w:p w14:paraId="6DD2C886" w14:textId="77777777" w:rsidR="00056DBF" w:rsidRDefault="00056DBF"/>
    <w:sectPr w:rsidR="00056D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3F18"/>
    <w:multiLevelType w:val="multilevel"/>
    <w:tmpl w:val="8A90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F2F2B"/>
    <w:multiLevelType w:val="multilevel"/>
    <w:tmpl w:val="79D4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A06F5"/>
    <w:multiLevelType w:val="multilevel"/>
    <w:tmpl w:val="44F4A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6951874">
    <w:abstractNumId w:val="1"/>
  </w:num>
  <w:num w:numId="2" w16cid:durableId="1315337471">
    <w:abstractNumId w:val="0"/>
  </w:num>
  <w:num w:numId="3" w16cid:durableId="1846900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BF"/>
    <w:rsid w:val="00056DBF"/>
    <w:rsid w:val="001269BC"/>
    <w:rsid w:val="00995315"/>
    <w:rsid w:val="00DE0B4A"/>
    <w:rsid w:val="00F25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F940"/>
  <w15:chartTrackingRefBased/>
  <w15:docId w15:val="{7552DB6D-3A8C-4A67-91C2-6E73C09F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56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56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56DB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56DB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56DB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56DB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6DB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56DB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6DB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6DB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56DB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56DB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56DB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56DB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56D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6D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56D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6DBF"/>
    <w:rPr>
      <w:rFonts w:eastAsiaTheme="majorEastAsia" w:cstheme="majorBidi"/>
      <w:color w:val="272727" w:themeColor="text1" w:themeTint="D8"/>
    </w:rPr>
  </w:style>
  <w:style w:type="paragraph" w:styleId="Titel">
    <w:name w:val="Title"/>
    <w:basedOn w:val="Standard"/>
    <w:next w:val="Standard"/>
    <w:link w:val="TitelZchn"/>
    <w:uiPriority w:val="10"/>
    <w:qFormat/>
    <w:rsid w:val="00056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6D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6DB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6D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56DB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6DBF"/>
    <w:rPr>
      <w:i/>
      <w:iCs/>
      <w:color w:val="404040" w:themeColor="text1" w:themeTint="BF"/>
    </w:rPr>
  </w:style>
  <w:style w:type="paragraph" w:styleId="Listenabsatz">
    <w:name w:val="List Paragraph"/>
    <w:basedOn w:val="Standard"/>
    <w:uiPriority w:val="34"/>
    <w:qFormat/>
    <w:rsid w:val="00056DBF"/>
    <w:pPr>
      <w:ind w:left="720"/>
      <w:contextualSpacing/>
    </w:pPr>
  </w:style>
  <w:style w:type="character" w:styleId="IntensiveHervorhebung">
    <w:name w:val="Intense Emphasis"/>
    <w:basedOn w:val="Absatz-Standardschriftart"/>
    <w:uiPriority w:val="21"/>
    <w:qFormat/>
    <w:rsid w:val="00056DBF"/>
    <w:rPr>
      <w:i/>
      <w:iCs/>
      <w:color w:val="0F4761" w:themeColor="accent1" w:themeShade="BF"/>
    </w:rPr>
  </w:style>
  <w:style w:type="paragraph" w:styleId="IntensivesZitat">
    <w:name w:val="Intense Quote"/>
    <w:basedOn w:val="Standard"/>
    <w:next w:val="Standard"/>
    <w:link w:val="IntensivesZitatZchn"/>
    <w:uiPriority w:val="30"/>
    <w:qFormat/>
    <w:rsid w:val="00056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56DBF"/>
    <w:rPr>
      <w:i/>
      <w:iCs/>
      <w:color w:val="0F4761" w:themeColor="accent1" w:themeShade="BF"/>
    </w:rPr>
  </w:style>
  <w:style w:type="character" w:styleId="IntensiverVerweis">
    <w:name w:val="Intense Reference"/>
    <w:basedOn w:val="Absatz-Standardschriftart"/>
    <w:uiPriority w:val="32"/>
    <w:qFormat/>
    <w:rsid w:val="00056DBF"/>
    <w:rPr>
      <w:b/>
      <w:bCs/>
      <w:smallCaps/>
      <w:color w:val="0F4761" w:themeColor="accent1" w:themeShade="BF"/>
      <w:spacing w:val="5"/>
    </w:rPr>
  </w:style>
  <w:style w:type="table" w:styleId="Gitternetztabelle5dunkelAkzent4">
    <w:name w:val="Grid Table 5 Dark Accent 4"/>
    <w:basedOn w:val="NormaleTabelle"/>
    <w:uiPriority w:val="50"/>
    <w:rsid w:val="00056D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2615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Tarman_Batuhan</dc:creator>
  <cp:keywords/>
  <dc:description/>
  <cp:lastModifiedBy>Tarman_Batuhan</cp:lastModifiedBy>
  <cp:revision>3</cp:revision>
  <dcterms:created xsi:type="dcterms:W3CDTF">2026-03-05T17:16:00Z</dcterms:created>
  <dcterms:modified xsi:type="dcterms:W3CDTF">2026-03-05T17:33:00Z</dcterms:modified>
</cp:coreProperties>
</file>