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F37D" w14:textId="77777777" w:rsidR="00C57BC4" w:rsidRDefault="00000000">
      <w:pPr>
        <w:spacing w:after="60"/>
      </w:pPr>
      <w:r>
        <w:rPr>
          <w:b/>
          <w:bCs/>
          <w:color w:val="9CA3AF"/>
          <w:sz w:val="14"/>
          <w:szCs w:val="14"/>
        </w:rPr>
        <w:t>SILVER INTELLIGENCE SYSTEM 2.6</w:t>
      </w:r>
    </w:p>
    <w:p w14:paraId="2917D1C3" w14:textId="77777777" w:rsidR="00C57BC4" w:rsidRDefault="00000000">
      <w:pPr>
        <w:spacing w:after="80"/>
      </w:pPr>
      <w:r>
        <w:rPr>
          <w:b/>
          <w:bCs/>
          <w:color w:val="1E3A5F"/>
          <w:sz w:val="48"/>
          <w:szCs w:val="48"/>
        </w:rPr>
        <w:t>Weekly AI Consensus Recap</w:t>
      </w:r>
    </w:p>
    <w:p w14:paraId="11D6E708" w14:textId="77777777" w:rsidR="00C57BC4" w:rsidRDefault="00000000">
      <w:pPr>
        <w:spacing w:after="40"/>
      </w:pPr>
      <w:r>
        <w:rPr>
          <w:color w:val="6B7280"/>
        </w:rPr>
        <w:t xml:space="preserve">April 6–5, </w:t>
      </w:r>
      <w:proofErr w:type="gramStart"/>
      <w:r>
        <w:rPr>
          <w:color w:val="6B7280"/>
        </w:rPr>
        <w:t>2026  •</w:t>
      </w:r>
      <w:proofErr w:type="gramEnd"/>
      <w:r>
        <w:rPr>
          <w:color w:val="6B7280"/>
        </w:rPr>
        <w:t xml:space="preserve">  Sessions 15–</w:t>
      </w:r>
      <w:proofErr w:type="gramStart"/>
      <w:r>
        <w:rPr>
          <w:color w:val="6B7280"/>
        </w:rPr>
        <w:t>19  •</w:t>
      </w:r>
      <w:proofErr w:type="gramEnd"/>
      <w:r>
        <w:rPr>
          <w:color w:val="6B7280"/>
        </w:rPr>
        <w:t xml:space="preserve">  AI Ensemble: Claude · ChatGPT · DeepSeek</w:t>
      </w:r>
    </w:p>
    <w:p w14:paraId="7C69D26D" w14:textId="77777777" w:rsidR="00C57BC4" w:rsidRDefault="00C57BC4">
      <w:pPr>
        <w:pBdr>
          <w:bottom w:val="single" w:sz="4" w:space="1" w:color="DBEAFE"/>
        </w:pBdr>
        <w:spacing w:before="120" w:after="120"/>
      </w:pPr>
    </w:p>
    <w:p w14:paraId="02BAAC78" w14:textId="77777777" w:rsidR="00C57BC4" w:rsidRDefault="00C57BC4">
      <w:pPr>
        <w:spacing w:before="40" w:after="40"/>
      </w:pPr>
    </w:p>
    <w:p w14:paraId="4E77174A" w14:textId="77777777" w:rsidR="00C57BC4" w:rsidRDefault="00000000">
      <w:pPr>
        <w:pStyle w:val="Heading1"/>
      </w:pPr>
      <w:r>
        <w:t>Executive Summary</w:t>
      </w:r>
    </w:p>
    <w:p w14:paraId="49C5455B" w14:textId="77777777" w:rsidR="00C57BC4" w:rsidRDefault="00000000">
      <w:pPr>
        <w:spacing w:before="80" w:after="80"/>
      </w:pPr>
      <w:r>
        <w:t>The week of April 6–5 marked a decisive governance inflection in the Silver Intelligence System. All three AI systems opened Monday in agreement: silver was in a technically bearish structure, price was the dominant force, and the physical supply signals building beneath the surface — near-zero COMEX spreads, depleted inventories, elevated China premiums — had not yet crossed the formal thresholds required to trigger a framework response.</w:t>
      </w:r>
    </w:p>
    <w:p w14:paraId="30028BE0" w14:textId="77777777" w:rsidR="00C57BC4" w:rsidRDefault="00C57BC4">
      <w:pPr>
        <w:spacing w:before="40" w:after="40"/>
      </w:pPr>
    </w:p>
    <w:p w14:paraId="6CBCE5B7" w14:textId="77777777" w:rsidR="00C57BC4" w:rsidRDefault="00000000">
      <w:pPr>
        <w:spacing w:before="80" w:after="80"/>
      </w:pPr>
      <w:r>
        <w:t>By Friday, the consensus had rotated dramatically. A macro shock on Wednesday April 8 triggered a violent intraday rally that tested $77.77, cleared weak short positions, and set in motion a three-session recovery that ended with silver closing at $76.17 above its 20-day EMA, the gold–silver ratio deactivating a key bearish disproof condition, and all three AIs moving to a provisional bullish directional interpretation for the first time in the current run series.</w:t>
      </w:r>
    </w:p>
    <w:p w14:paraId="25C5996A" w14:textId="77777777" w:rsidR="00C57BC4" w:rsidRDefault="00C57BC4">
      <w:pPr>
        <w:spacing w:before="40" w:after="40"/>
      </w:pPr>
    </w:p>
    <w:p w14:paraId="289B3BC5" w14:textId="77777777" w:rsidR="00C57BC4" w:rsidRDefault="00000000">
      <w:pPr>
        <w:spacing w:before="80" w:after="80"/>
      </w:pPr>
      <w:r>
        <w:t>The AI ensemble did not agree on the speed of transition — DeepSeek was most bearish at the start and most cautious about the pace of confirmation, while ChatGPT was earliest to assign bullish weight at the 30-day horizon — but by Friday all three systems were directionally aligned for the week ahead.</w:t>
      </w:r>
    </w:p>
    <w:p w14:paraId="6650BA3F" w14:textId="77777777" w:rsidR="00C57BC4" w:rsidRDefault="00C57BC4">
      <w:pPr>
        <w:spacing w:before="80" w:after="80"/>
      </w:pPr>
    </w:p>
    <w:p w14:paraId="4206003E" w14:textId="77777777" w:rsidR="00C57BC4" w:rsidRDefault="00000000">
      <w:pPr>
        <w:pStyle w:val="Heading1"/>
      </w:pPr>
      <w:r>
        <w:t>Consensus Probability Shift: April 6 → April 13 (Tomorrow)</w:t>
      </w:r>
    </w:p>
    <w:p w14:paraId="7B441FF0" w14:textId="77777777" w:rsidR="00C57BC4" w:rsidRDefault="00000000">
      <w:pPr>
        <w:spacing w:before="80" w:after="80"/>
      </w:pPr>
      <w:r>
        <w:t>The table below shows the full extent of the AI consensus rotation over the week. Starting from a 62% bearish 5-day consensus on Monday, the group closed at 45% bullish — a swing of nearly 25 percentage points at every time horizon.</w:t>
      </w:r>
    </w:p>
    <w:p w14:paraId="7F8A3D15" w14:textId="77777777" w:rsidR="00C57BC4" w:rsidRDefault="00C57BC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3"/>
        <w:gridCol w:w="1010"/>
        <w:gridCol w:w="1059"/>
        <w:gridCol w:w="1059"/>
        <w:gridCol w:w="1092"/>
        <w:gridCol w:w="1141"/>
        <w:gridCol w:w="1141"/>
        <w:gridCol w:w="993"/>
        <w:gridCol w:w="1022"/>
      </w:tblGrid>
      <w:tr w:rsidR="00C57BC4" w14:paraId="13A30D46" w14:textId="77777777">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tcPr>
          <w:p w14:paraId="75565B6B" w14:textId="77777777" w:rsidR="00C57BC4" w:rsidRDefault="00C57BC4">
            <w:pPr>
              <w:jc w:val="center"/>
            </w:pP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tcPr>
          <w:p w14:paraId="0CFDFD67" w14:textId="77777777" w:rsidR="00C57BC4" w:rsidRDefault="00000000">
            <w:pPr>
              <w:jc w:val="center"/>
            </w:pPr>
            <w:r>
              <w:rPr>
                <w:b/>
                <w:bCs/>
                <w:color w:val="FFFFFF"/>
                <w:sz w:val="18"/>
                <w:szCs w:val="18"/>
              </w:rPr>
              <w:t>Apr 6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tcPr>
          <w:p w14:paraId="06EF10B1" w14:textId="77777777" w:rsidR="00C57BC4" w:rsidRDefault="00000000">
            <w:pPr>
              <w:jc w:val="center"/>
            </w:pPr>
            <w:r>
              <w:rPr>
                <w:b/>
                <w:bCs/>
                <w:color w:val="FFFFFF"/>
                <w:sz w:val="18"/>
                <w:szCs w:val="18"/>
              </w:rPr>
              <w:t>Apr 6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tcPr>
          <w:p w14:paraId="1C601997" w14:textId="77777777" w:rsidR="00C57BC4" w:rsidRDefault="00000000">
            <w:pPr>
              <w:jc w:val="center"/>
            </w:pPr>
            <w:r>
              <w:rPr>
                <w:b/>
                <w:bCs/>
                <w:color w:val="FFFFFF"/>
                <w:sz w:val="18"/>
                <w:szCs w:val="18"/>
              </w:rPr>
              <w:t>Apr 6 Bear</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tcPr>
          <w:p w14:paraId="2DC26DAE" w14:textId="77777777" w:rsidR="00C57BC4" w:rsidRDefault="00000000">
            <w:pPr>
              <w:jc w:val="center"/>
            </w:pPr>
            <w:r>
              <w:rPr>
                <w:b/>
                <w:bCs/>
                <w:color w:val="FFFFFF"/>
                <w:sz w:val="18"/>
                <w:szCs w:val="18"/>
              </w:rPr>
              <w:t>Apr 13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tcPr>
          <w:p w14:paraId="16F66C0D" w14:textId="77777777" w:rsidR="00C57BC4" w:rsidRDefault="00000000">
            <w:pPr>
              <w:jc w:val="center"/>
            </w:pPr>
            <w:r>
              <w:rPr>
                <w:b/>
                <w:bCs/>
                <w:color w:val="FFFFFF"/>
                <w:sz w:val="18"/>
                <w:szCs w:val="18"/>
              </w:rPr>
              <w:t>Apr 13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tcPr>
          <w:p w14:paraId="069BFF46" w14:textId="77777777" w:rsidR="00C57BC4" w:rsidRDefault="00000000">
            <w:pPr>
              <w:jc w:val="center"/>
            </w:pPr>
            <w:r>
              <w:rPr>
                <w:b/>
                <w:bCs/>
                <w:color w:val="FFFFFF"/>
                <w:sz w:val="18"/>
                <w:szCs w:val="18"/>
              </w:rPr>
              <w:t>Apr 13 Bear</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tcPr>
          <w:p w14:paraId="299CDE06" w14:textId="77777777" w:rsidR="00C57BC4" w:rsidRDefault="00000000">
            <w:pPr>
              <w:jc w:val="center"/>
            </w:pPr>
            <w:r>
              <w:rPr>
                <w:b/>
                <w:bCs/>
                <w:color w:val="FFFFFF"/>
                <w:sz w:val="18"/>
                <w:szCs w:val="18"/>
              </w:rPr>
              <w:t>Bull Shift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tcPr>
          <w:p w14:paraId="01FE4B80" w14:textId="77777777" w:rsidR="00C57BC4" w:rsidRDefault="00000000">
            <w:pPr>
              <w:jc w:val="center"/>
            </w:pPr>
            <w:r>
              <w:rPr>
                <w:b/>
                <w:bCs/>
                <w:color w:val="FFFFFF"/>
                <w:sz w:val="18"/>
                <w:szCs w:val="18"/>
              </w:rPr>
              <w:t>Bear Shift</w:t>
            </w:r>
          </w:p>
        </w:tc>
      </w:tr>
      <w:tr w:rsidR="00C57BC4" w14:paraId="38465983"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7140EA81" w14:textId="77777777" w:rsidR="00C57BC4" w:rsidRDefault="00000000">
            <w:r>
              <w:rPr>
                <w:b/>
                <w:bCs/>
                <w:color w:val="1E3A5F"/>
                <w:sz w:val="20"/>
                <w:szCs w:val="20"/>
              </w:rPr>
              <w:t>5-Day</w:t>
            </w:r>
          </w:p>
        </w:tc>
        <w:tc>
          <w:tcPr>
            <w:tcW w:w="0" w:type="auto"/>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27150EB" w14:textId="77777777" w:rsidR="00C57BC4" w:rsidRDefault="00000000">
            <w:pPr>
              <w:jc w:val="center"/>
            </w:pPr>
            <w:r>
              <w:rPr>
                <w:b/>
                <w:bCs/>
                <w:color w:val="B91C1C"/>
                <w:sz w:val="20"/>
                <w:szCs w:val="20"/>
              </w:rPr>
              <w:t>21%</w:t>
            </w:r>
          </w:p>
        </w:tc>
        <w:tc>
          <w:tcPr>
            <w:tcW w:w="0" w:type="auto"/>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03A4387"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shd w:val="clear" w:color="auto" w:fill="FEF2F2"/>
            <w:tcMar>
              <w:top w:w="80" w:type="dxa"/>
              <w:left w:w="120" w:type="dxa"/>
              <w:bottom w:w="80" w:type="dxa"/>
              <w:right w:w="120" w:type="dxa"/>
            </w:tcMar>
          </w:tcPr>
          <w:p w14:paraId="463D6B0F" w14:textId="77777777" w:rsidR="00C57BC4" w:rsidRDefault="00000000">
            <w:pPr>
              <w:jc w:val="center"/>
            </w:pPr>
            <w:r>
              <w:rPr>
                <w:b/>
                <w:bCs/>
                <w:color w:val="B91C1C"/>
                <w:sz w:val="20"/>
                <w:szCs w:val="20"/>
              </w:rPr>
              <w:t>62%</w:t>
            </w:r>
          </w:p>
        </w:tc>
        <w:tc>
          <w:tcPr>
            <w:tcW w:w="0" w:type="auto"/>
            <w:tcBorders>
              <w:top w:val="single" w:sz="1" w:space="0" w:color="CBD5E1"/>
              <w:left w:val="single" w:sz="1" w:space="0" w:color="CBD5E1"/>
              <w:bottom w:val="single" w:sz="1" w:space="0" w:color="CBD5E1"/>
              <w:right w:val="single" w:sz="1" w:space="0" w:color="CBD5E1"/>
            </w:tcBorders>
            <w:shd w:val="clear" w:color="auto" w:fill="F0FDF4"/>
            <w:tcMar>
              <w:top w:w="80" w:type="dxa"/>
              <w:left w:w="120" w:type="dxa"/>
              <w:bottom w:w="80" w:type="dxa"/>
              <w:right w:w="120" w:type="dxa"/>
            </w:tcMar>
          </w:tcPr>
          <w:p w14:paraId="3D40F032" w14:textId="77777777" w:rsidR="00C57BC4" w:rsidRDefault="00000000">
            <w:pPr>
              <w:jc w:val="center"/>
            </w:pPr>
            <w:r>
              <w:rPr>
                <w:b/>
                <w:bCs/>
                <w:color w:val="15803D"/>
                <w:sz w:val="20"/>
                <w:szCs w:val="20"/>
              </w:rPr>
              <w:t>45%</w:t>
            </w:r>
          </w:p>
        </w:tc>
        <w:tc>
          <w:tcPr>
            <w:tcW w:w="0" w:type="auto"/>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F4B8E85"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0A774C9" w14:textId="77777777" w:rsidR="00C57BC4" w:rsidRDefault="00000000">
            <w:pPr>
              <w:jc w:val="center"/>
            </w:pPr>
            <w:r>
              <w:rPr>
                <w:b/>
                <w:bCs/>
                <w:color w:val="6B7280"/>
                <w:sz w:val="20"/>
                <w:szCs w:val="20"/>
              </w:rPr>
              <w:t>37%</w:t>
            </w:r>
          </w:p>
        </w:tc>
        <w:tc>
          <w:tcPr>
            <w:tcW w:w="0" w:type="auto"/>
            <w:tcBorders>
              <w:top w:val="single" w:sz="1" w:space="0" w:color="CBD5E1"/>
              <w:left w:val="single" w:sz="1" w:space="0" w:color="CBD5E1"/>
              <w:bottom w:val="single" w:sz="1" w:space="0" w:color="CBD5E1"/>
              <w:right w:val="single" w:sz="1" w:space="0" w:color="CBD5E1"/>
            </w:tcBorders>
            <w:shd w:val="clear" w:color="auto" w:fill="F0FDF4"/>
            <w:tcMar>
              <w:top w:w="80" w:type="dxa"/>
              <w:left w:w="120" w:type="dxa"/>
              <w:bottom w:w="80" w:type="dxa"/>
              <w:right w:w="120" w:type="dxa"/>
            </w:tcMar>
          </w:tcPr>
          <w:p w14:paraId="03380F3A" w14:textId="77777777" w:rsidR="00C57BC4" w:rsidRDefault="00000000">
            <w:pPr>
              <w:jc w:val="center"/>
            </w:pPr>
            <w:r>
              <w:rPr>
                <w:b/>
                <w:bCs/>
                <w:color w:val="15803D"/>
                <w:sz w:val="20"/>
                <w:szCs w:val="20"/>
              </w:rPr>
              <w:t>+24pp</w:t>
            </w:r>
          </w:p>
        </w:tc>
        <w:tc>
          <w:tcPr>
            <w:tcW w:w="0" w:type="auto"/>
            <w:tcBorders>
              <w:top w:val="single" w:sz="1" w:space="0" w:color="CBD5E1"/>
              <w:left w:val="single" w:sz="1" w:space="0" w:color="CBD5E1"/>
              <w:bottom w:val="single" w:sz="1" w:space="0" w:color="CBD5E1"/>
              <w:right w:val="single" w:sz="1" w:space="0" w:color="CBD5E1"/>
            </w:tcBorders>
            <w:shd w:val="clear" w:color="auto" w:fill="FEF2F2"/>
            <w:tcMar>
              <w:top w:w="80" w:type="dxa"/>
              <w:left w:w="120" w:type="dxa"/>
              <w:bottom w:w="80" w:type="dxa"/>
              <w:right w:w="120" w:type="dxa"/>
            </w:tcMar>
          </w:tcPr>
          <w:p w14:paraId="18ACCD22" w14:textId="77777777" w:rsidR="00C57BC4" w:rsidRDefault="00000000">
            <w:pPr>
              <w:jc w:val="center"/>
            </w:pPr>
            <w:r>
              <w:rPr>
                <w:b/>
                <w:bCs/>
                <w:color w:val="B91C1C"/>
                <w:sz w:val="20"/>
                <w:szCs w:val="20"/>
              </w:rPr>
              <w:t>-25pp</w:t>
            </w:r>
          </w:p>
        </w:tc>
      </w:tr>
      <w:tr w:rsidR="00C57BC4" w14:paraId="40E3577A"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7DE4BDFE" w14:textId="77777777" w:rsidR="00C57BC4" w:rsidRDefault="00000000">
            <w:r>
              <w:rPr>
                <w:b/>
                <w:bCs/>
                <w:color w:val="1E3A5F"/>
                <w:sz w:val="20"/>
                <w:szCs w:val="20"/>
              </w:rPr>
              <w:t>10-Day</w:t>
            </w:r>
          </w:p>
        </w:tc>
        <w:tc>
          <w:tcPr>
            <w:tcW w:w="0" w:type="auto"/>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B59BD72" w14:textId="77777777" w:rsidR="00C57BC4" w:rsidRDefault="00000000">
            <w:pPr>
              <w:jc w:val="center"/>
            </w:pPr>
            <w:r>
              <w:rPr>
                <w:b/>
                <w:bCs/>
                <w:color w:val="B91C1C"/>
                <w:sz w:val="20"/>
                <w:szCs w:val="20"/>
              </w:rPr>
              <w:t>25%</w:t>
            </w:r>
          </w:p>
        </w:tc>
        <w:tc>
          <w:tcPr>
            <w:tcW w:w="0" w:type="auto"/>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CC5A823"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shd w:val="clear" w:color="auto" w:fill="FEF2F2"/>
            <w:tcMar>
              <w:top w:w="80" w:type="dxa"/>
              <w:left w:w="120" w:type="dxa"/>
              <w:bottom w:w="80" w:type="dxa"/>
              <w:right w:w="120" w:type="dxa"/>
            </w:tcMar>
          </w:tcPr>
          <w:p w14:paraId="55D02BDE" w14:textId="77777777" w:rsidR="00C57BC4" w:rsidRDefault="00000000">
            <w:pPr>
              <w:jc w:val="center"/>
            </w:pPr>
            <w:r>
              <w:rPr>
                <w:b/>
                <w:bCs/>
                <w:color w:val="B91C1C"/>
                <w:sz w:val="20"/>
                <w:szCs w:val="20"/>
              </w:rPr>
              <w:t>57%</w:t>
            </w:r>
          </w:p>
        </w:tc>
        <w:tc>
          <w:tcPr>
            <w:tcW w:w="0" w:type="auto"/>
            <w:tcBorders>
              <w:top w:val="single" w:sz="1" w:space="0" w:color="CBD5E1"/>
              <w:left w:val="single" w:sz="1" w:space="0" w:color="CBD5E1"/>
              <w:bottom w:val="single" w:sz="1" w:space="0" w:color="CBD5E1"/>
              <w:right w:val="single" w:sz="1" w:space="0" w:color="CBD5E1"/>
            </w:tcBorders>
            <w:shd w:val="clear" w:color="auto" w:fill="F0FDF4"/>
            <w:tcMar>
              <w:top w:w="80" w:type="dxa"/>
              <w:left w:w="120" w:type="dxa"/>
              <w:bottom w:w="80" w:type="dxa"/>
              <w:right w:w="120" w:type="dxa"/>
            </w:tcMar>
          </w:tcPr>
          <w:p w14:paraId="2E2FC5BB" w14:textId="77777777" w:rsidR="00C57BC4" w:rsidRDefault="00000000">
            <w:pPr>
              <w:jc w:val="center"/>
            </w:pPr>
            <w:r>
              <w:rPr>
                <w:b/>
                <w:bCs/>
                <w:color w:val="15803D"/>
                <w:sz w:val="20"/>
                <w:szCs w:val="20"/>
              </w:rPr>
              <w:t>50%</w:t>
            </w:r>
          </w:p>
        </w:tc>
        <w:tc>
          <w:tcPr>
            <w:tcW w:w="0" w:type="auto"/>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9C167DA" w14:textId="77777777" w:rsidR="00C57BC4" w:rsidRDefault="00000000">
            <w:pPr>
              <w:jc w:val="center"/>
            </w:pPr>
            <w:r>
              <w:rPr>
                <w:b/>
                <w:bCs/>
                <w:color w:val="6B7280"/>
                <w:sz w:val="20"/>
                <w:szCs w:val="20"/>
              </w:rPr>
              <w:t>17%</w:t>
            </w:r>
          </w:p>
        </w:tc>
        <w:tc>
          <w:tcPr>
            <w:tcW w:w="0" w:type="auto"/>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BBA1CFF" w14:textId="77777777" w:rsidR="00C57BC4" w:rsidRDefault="00000000">
            <w:pPr>
              <w:jc w:val="center"/>
            </w:pPr>
            <w:r>
              <w:rPr>
                <w:b/>
                <w:bCs/>
                <w:color w:val="6B7280"/>
                <w:sz w:val="20"/>
                <w:szCs w:val="20"/>
              </w:rPr>
              <w:t>33%</w:t>
            </w:r>
          </w:p>
        </w:tc>
        <w:tc>
          <w:tcPr>
            <w:tcW w:w="0" w:type="auto"/>
            <w:tcBorders>
              <w:top w:val="single" w:sz="1" w:space="0" w:color="CBD5E1"/>
              <w:left w:val="single" w:sz="1" w:space="0" w:color="CBD5E1"/>
              <w:bottom w:val="single" w:sz="1" w:space="0" w:color="CBD5E1"/>
              <w:right w:val="single" w:sz="1" w:space="0" w:color="CBD5E1"/>
            </w:tcBorders>
            <w:shd w:val="clear" w:color="auto" w:fill="F0FDF4"/>
            <w:tcMar>
              <w:top w:w="80" w:type="dxa"/>
              <w:left w:w="120" w:type="dxa"/>
              <w:bottom w:w="80" w:type="dxa"/>
              <w:right w:w="120" w:type="dxa"/>
            </w:tcMar>
          </w:tcPr>
          <w:p w14:paraId="7DF70D6B" w14:textId="77777777" w:rsidR="00C57BC4" w:rsidRDefault="00000000">
            <w:pPr>
              <w:jc w:val="center"/>
            </w:pPr>
            <w:r>
              <w:rPr>
                <w:b/>
                <w:bCs/>
                <w:color w:val="15803D"/>
                <w:sz w:val="20"/>
                <w:szCs w:val="20"/>
              </w:rPr>
              <w:t>+25pp</w:t>
            </w:r>
          </w:p>
        </w:tc>
        <w:tc>
          <w:tcPr>
            <w:tcW w:w="0" w:type="auto"/>
            <w:tcBorders>
              <w:top w:val="single" w:sz="1" w:space="0" w:color="CBD5E1"/>
              <w:left w:val="single" w:sz="1" w:space="0" w:color="CBD5E1"/>
              <w:bottom w:val="single" w:sz="1" w:space="0" w:color="CBD5E1"/>
              <w:right w:val="single" w:sz="1" w:space="0" w:color="CBD5E1"/>
            </w:tcBorders>
            <w:shd w:val="clear" w:color="auto" w:fill="FEF2F2"/>
            <w:tcMar>
              <w:top w:w="80" w:type="dxa"/>
              <w:left w:w="120" w:type="dxa"/>
              <w:bottom w:w="80" w:type="dxa"/>
              <w:right w:w="120" w:type="dxa"/>
            </w:tcMar>
          </w:tcPr>
          <w:p w14:paraId="09CAB736" w14:textId="77777777" w:rsidR="00C57BC4" w:rsidRDefault="00000000">
            <w:pPr>
              <w:jc w:val="center"/>
            </w:pPr>
            <w:r>
              <w:rPr>
                <w:b/>
                <w:bCs/>
                <w:color w:val="B91C1C"/>
                <w:sz w:val="20"/>
                <w:szCs w:val="20"/>
              </w:rPr>
              <w:t>-24pp</w:t>
            </w:r>
          </w:p>
        </w:tc>
      </w:tr>
      <w:tr w:rsidR="00C57BC4" w14:paraId="4D3C2907"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6C9FBA62" w14:textId="77777777" w:rsidR="00C57BC4" w:rsidRDefault="00000000">
            <w:r>
              <w:rPr>
                <w:b/>
                <w:bCs/>
                <w:color w:val="1E3A5F"/>
                <w:sz w:val="20"/>
                <w:szCs w:val="20"/>
              </w:rPr>
              <w:t>30-Day</w:t>
            </w:r>
          </w:p>
        </w:tc>
        <w:tc>
          <w:tcPr>
            <w:tcW w:w="0" w:type="auto"/>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6BE445A" w14:textId="77777777" w:rsidR="00C57BC4" w:rsidRDefault="00000000">
            <w:pPr>
              <w:jc w:val="center"/>
            </w:pPr>
            <w:r>
              <w:rPr>
                <w:b/>
                <w:bCs/>
                <w:color w:val="6B7280"/>
                <w:sz w:val="20"/>
                <w:szCs w:val="20"/>
              </w:rPr>
              <w:t>34%</w:t>
            </w:r>
          </w:p>
        </w:tc>
        <w:tc>
          <w:tcPr>
            <w:tcW w:w="0" w:type="auto"/>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C510930"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shd w:val="clear" w:color="auto" w:fill="FEF2F2"/>
            <w:tcMar>
              <w:top w:w="80" w:type="dxa"/>
              <w:left w:w="120" w:type="dxa"/>
              <w:bottom w:w="80" w:type="dxa"/>
              <w:right w:w="120" w:type="dxa"/>
            </w:tcMar>
          </w:tcPr>
          <w:p w14:paraId="1BDA3DC6" w14:textId="77777777" w:rsidR="00C57BC4" w:rsidRDefault="00000000">
            <w:pPr>
              <w:jc w:val="center"/>
            </w:pPr>
            <w:r>
              <w:rPr>
                <w:b/>
                <w:bCs/>
                <w:color w:val="B91C1C"/>
                <w:sz w:val="20"/>
                <w:szCs w:val="20"/>
              </w:rPr>
              <w:t>48%</w:t>
            </w:r>
          </w:p>
        </w:tc>
        <w:tc>
          <w:tcPr>
            <w:tcW w:w="0" w:type="auto"/>
            <w:tcBorders>
              <w:top w:val="single" w:sz="1" w:space="0" w:color="CBD5E1"/>
              <w:left w:val="single" w:sz="1" w:space="0" w:color="CBD5E1"/>
              <w:bottom w:val="single" w:sz="1" w:space="0" w:color="CBD5E1"/>
              <w:right w:val="single" w:sz="1" w:space="0" w:color="CBD5E1"/>
            </w:tcBorders>
            <w:shd w:val="clear" w:color="auto" w:fill="F0FDF4"/>
            <w:tcMar>
              <w:top w:w="80" w:type="dxa"/>
              <w:left w:w="120" w:type="dxa"/>
              <w:bottom w:w="80" w:type="dxa"/>
              <w:right w:w="120" w:type="dxa"/>
            </w:tcMar>
          </w:tcPr>
          <w:p w14:paraId="1E808569" w14:textId="77777777" w:rsidR="00C57BC4" w:rsidRDefault="00000000">
            <w:pPr>
              <w:jc w:val="center"/>
            </w:pPr>
            <w:r>
              <w:rPr>
                <w:b/>
                <w:bCs/>
                <w:color w:val="15803D"/>
                <w:sz w:val="20"/>
                <w:szCs w:val="20"/>
              </w:rPr>
              <w:t>56%</w:t>
            </w:r>
          </w:p>
        </w:tc>
        <w:tc>
          <w:tcPr>
            <w:tcW w:w="0" w:type="auto"/>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38AD4A0" w14:textId="77777777" w:rsidR="00C57BC4" w:rsidRDefault="00000000">
            <w:pPr>
              <w:jc w:val="center"/>
            </w:pPr>
            <w:r>
              <w:rPr>
                <w:b/>
                <w:bCs/>
                <w:color w:val="6B7280"/>
                <w:sz w:val="20"/>
                <w:szCs w:val="20"/>
              </w:rPr>
              <w:t>15%</w:t>
            </w:r>
          </w:p>
        </w:tc>
        <w:tc>
          <w:tcPr>
            <w:tcW w:w="0" w:type="auto"/>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00BE2E7" w14:textId="77777777" w:rsidR="00C57BC4" w:rsidRDefault="00000000">
            <w:pPr>
              <w:jc w:val="center"/>
            </w:pPr>
            <w:r>
              <w:rPr>
                <w:b/>
                <w:bCs/>
                <w:color w:val="6B7280"/>
                <w:sz w:val="20"/>
                <w:szCs w:val="20"/>
              </w:rPr>
              <w:t>29%</w:t>
            </w:r>
          </w:p>
        </w:tc>
        <w:tc>
          <w:tcPr>
            <w:tcW w:w="0" w:type="auto"/>
            <w:tcBorders>
              <w:top w:val="single" w:sz="1" w:space="0" w:color="CBD5E1"/>
              <w:left w:val="single" w:sz="1" w:space="0" w:color="CBD5E1"/>
              <w:bottom w:val="single" w:sz="1" w:space="0" w:color="CBD5E1"/>
              <w:right w:val="single" w:sz="1" w:space="0" w:color="CBD5E1"/>
            </w:tcBorders>
            <w:shd w:val="clear" w:color="auto" w:fill="F0FDF4"/>
            <w:tcMar>
              <w:top w:w="80" w:type="dxa"/>
              <w:left w:w="120" w:type="dxa"/>
              <w:bottom w:w="80" w:type="dxa"/>
              <w:right w:w="120" w:type="dxa"/>
            </w:tcMar>
          </w:tcPr>
          <w:p w14:paraId="230C9D86" w14:textId="77777777" w:rsidR="00C57BC4" w:rsidRDefault="00000000">
            <w:pPr>
              <w:jc w:val="center"/>
            </w:pPr>
            <w:r>
              <w:rPr>
                <w:b/>
                <w:bCs/>
                <w:color w:val="15803D"/>
                <w:sz w:val="20"/>
                <w:szCs w:val="20"/>
              </w:rPr>
              <w:t>+22pp</w:t>
            </w:r>
          </w:p>
        </w:tc>
        <w:tc>
          <w:tcPr>
            <w:tcW w:w="0" w:type="auto"/>
            <w:tcBorders>
              <w:top w:val="single" w:sz="1" w:space="0" w:color="CBD5E1"/>
              <w:left w:val="single" w:sz="1" w:space="0" w:color="CBD5E1"/>
              <w:bottom w:val="single" w:sz="1" w:space="0" w:color="CBD5E1"/>
              <w:right w:val="single" w:sz="1" w:space="0" w:color="CBD5E1"/>
            </w:tcBorders>
            <w:shd w:val="clear" w:color="auto" w:fill="FEF2F2"/>
            <w:tcMar>
              <w:top w:w="80" w:type="dxa"/>
              <w:left w:w="120" w:type="dxa"/>
              <w:bottom w:w="80" w:type="dxa"/>
              <w:right w:w="120" w:type="dxa"/>
            </w:tcMar>
          </w:tcPr>
          <w:p w14:paraId="3603DCD8" w14:textId="77777777" w:rsidR="00C57BC4" w:rsidRDefault="00000000">
            <w:pPr>
              <w:jc w:val="center"/>
            </w:pPr>
            <w:r>
              <w:rPr>
                <w:b/>
                <w:bCs/>
                <w:color w:val="B91C1C"/>
                <w:sz w:val="20"/>
                <w:szCs w:val="20"/>
              </w:rPr>
              <w:t>-19pp</w:t>
            </w:r>
          </w:p>
        </w:tc>
      </w:tr>
    </w:tbl>
    <w:p w14:paraId="17FED43A" w14:textId="77777777" w:rsidR="00C57BC4" w:rsidRDefault="00C57BC4">
      <w:pPr>
        <w:spacing w:before="40" w:after="40"/>
      </w:pPr>
    </w:p>
    <w:p w14:paraId="26207104" w14:textId="77777777" w:rsidR="00C57BC4" w:rsidRDefault="00000000">
      <w:pPr>
        <w:spacing w:before="80" w:after="80"/>
      </w:pPr>
      <w:r>
        <w:t xml:space="preserve">The shift is not simply a response to price being higher. It reflects the cumulative removal of bearish governance anchors: one disproof condition deactivated (GSR below 63.00), one macro shock </w:t>
      </w:r>
      <w:proofErr w:type="gramStart"/>
      <w:r>
        <w:t>exiting</w:t>
      </w:r>
      <w:proofErr w:type="gramEnd"/>
      <w:r>
        <w:t xml:space="preserve"> cleanly after three sessions, and two consecutive closes above the </w:t>
      </w:r>
      <w:proofErr w:type="gramStart"/>
      <w:r>
        <w:t>EMA(</w:t>
      </w:r>
      <w:proofErr w:type="gramEnd"/>
      <w:r>
        <w:t xml:space="preserve">20) with </w:t>
      </w:r>
      <w:r>
        <w:lastRenderedPageBreak/>
        <w:t>silver advancing even as equities weakened. The structural case did not win the week — but it stopped losing ground.</w:t>
      </w:r>
    </w:p>
    <w:p w14:paraId="459C65EB" w14:textId="77777777" w:rsidR="00C57BC4" w:rsidRDefault="00C57BC4">
      <w:pPr>
        <w:spacing w:before="80" w:after="80"/>
      </w:pPr>
    </w:p>
    <w:p w14:paraId="1BFEBC71" w14:textId="77777777" w:rsidR="00C57BC4" w:rsidRDefault="00000000">
      <w:pPr>
        <w:pStyle w:val="Heading1"/>
      </w:pPr>
      <w:r>
        <w:t>Session-by-Session Narrative</w:t>
      </w:r>
    </w:p>
    <w:p w14:paraId="16900D40" w14:textId="77777777" w:rsidR="00C57BC4" w:rsidRDefault="00000000">
      <w:pPr>
        <w:pStyle w:val="Heading2"/>
      </w:pPr>
      <w:r>
        <w:t>Monday April 6 — Bearish Continuation, Hidden Pressure</w:t>
      </w:r>
    </w:p>
    <w:p w14:paraId="2F590DB1" w14:textId="77777777" w:rsidR="00C57BC4" w:rsidRDefault="00000000">
      <w:pPr>
        <w:spacing w:before="80" w:after="80"/>
      </w:pPr>
      <w:r>
        <w:t xml:space="preserve">Silver opened the week at $72.37, slipping modestly from its pre-holiday close. The headline number was unremarkable — a 0.74% decline in a quiet session. What mattered was beneath the surface. The COMEX cash-to-May spread spent much of the day trading in single-digit cents of contango, the tightest reading in the entire analytical run. COMEX total inventory posted a new one-year low at 327.19 million ounces. The China premium sat above 10%. The gold–silver ratio at 63.78 was still above the 63.00 disproof </w:t>
      </w:r>
      <w:proofErr w:type="gramStart"/>
      <w:r>
        <w:t>threshold, but</w:t>
      </w:r>
      <w:proofErr w:type="gramEnd"/>
      <w:r>
        <w:t xml:space="preserve"> closing the gap.</w:t>
      </w:r>
    </w:p>
    <w:p w14:paraId="066F170C" w14:textId="77777777" w:rsidR="00C57BC4" w:rsidRDefault="00C57BC4">
      <w:pPr>
        <w:spacing w:before="40" w:after="40"/>
      </w:pPr>
    </w:p>
    <w:p w14:paraId="6ED3CF5E" w14:textId="77777777" w:rsidR="00C57BC4" w:rsidRDefault="00000000">
      <w:pPr>
        <w:spacing w:before="80" w:after="80"/>
      </w:pPr>
      <w:r>
        <w:t>All three AIs maintained bearish directional interpretations. The framework correctly classified the session as Price Behavior dominant with three active disproof conditions. But the commentary was notably more alert than the official framework classification suggested: Claude noted the COMEX spread as “the dominant force beginning to emerge from beneath the surface.” DeepSeek challenged whether near-zero contango could really be treated identically to wide contango. ChatGPT flagged the market as “approaching but not yet reached delivery pressure.”</w:t>
      </w:r>
    </w:p>
    <w:p w14:paraId="4EC74933" w14:textId="77777777" w:rsidR="00C57BC4" w:rsidRDefault="00C57BC4">
      <w:pPr>
        <w:spacing w:before="40" w:after="40"/>
      </w:pPr>
    </w:p>
    <w:p w14:paraId="4E5013B3" w14:textId="77777777" w:rsidR="00C57BC4" w:rsidRDefault="00000000">
      <w:pPr>
        <w:spacing w:before="80" w:after="80"/>
      </w:pPr>
      <w:r>
        <w:t>Monday’s probabilities were the most bearish of the week — 62% consensus bearish at the 5-day horizon, 48% at 30 days.</w:t>
      </w:r>
    </w:p>
    <w:p w14:paraId="7110A2A0" w14:textId="77777777" w:rsidR="00C57BC4" w:rsidRDefault="00C57BC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0"/>
        <w:gridCol w:w="848"/>
        <w:gridCol w:w="873"/>
        <w:gridCol w:w="873"/>
        <w:gridCol w:w="891"/>
        <w:gridCol w:w="916"/>
        <w:gridCol w:w="916"/>
        <w:gridCol w:w="891"/>
        <w:gridCol w:w="916"/>
        <w:gridCol w:w="916"/>
      </w:tblGrid>
      <w:tr w:rsidR="00C57BC4" w14:paraId="67546C69" w14:textId="77777777">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263BC3D8" w14:textId="77777777" w:rsidR="00C57BC4" w:rsidRDefault="00C57BC4">
            <w:pPr>
              <w:jc w:val="center"/>
            </w:pP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5DD508B6" w14:textId="77777777" w:rsidR="00C57BC4" w:rsidRDefault="00000000">
            <w:pPr>
              <w:jc w:val="center"/>
            </w:pPr>
            <w:r>
              <w:rPr>
                <w:b/>
                <w:bCs/>
                <w:color w:val="FFFFFF"/>
                <w:sz w:val="18"/>
                <w:szCs w:val="18"/>
              </w:rPr>
              <w:t>5-Day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50BC26C0" w14:textId="77777777" w:rsidR="00C57BC4" w:rsidRDefault="00000000">
            <w:pPr>
              <w:jc w:val="center"/>
            </w:pPr>
            <w:r>
              <w:rPr>
                <w:b/>
                <w:bCs/>
                <w:color w:val="FFFFFF"/>
                <w:sz w:val="18"/>
                <w:szCs w:val="18"/>
              </w:rPr>
              <w:t>5-Day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5D277E85" w14:textId="77777777" w:rsidR="00C57BC4" w:rsidRDefault="00000000">
            <w:pPr>
              <w:jc w:val="center"/>
            </w:pPr>
            <w:r>
              <w:rPr>
                <w:b/>
                <w:bCs/>
                <w:color w:val="FFFFFF"/>
                <w:sz w:val="18"/>
                <w:szCs w:val="18"/>
              </w:rPr>
              <w:t>5-Day Bear</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4F2DAE4D" w14:textId="77777777" w:rsidR="00C57BC4" w:rsidRDefault="00000000">
            <w:pPr>
              <w:jc w:val="center"/>
            </w:pPr>
            <w:r>
              <w:rPr>
                <w:b/>
                <w:bCs/>
                <w:color w:val="FFFFFF"/>
                <w:sz w:val="18"/>
                <w:szCs w:val="18"/>
              </w:rPr>
              <w:t>10-Day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26848EB9" w14:textId="77777777" w:rsidR="00C57BC4" w:rsidRDefault="00000000">
            <w:pPr>
              <w:jc w:val="center"/>
            </w:pPr>
            <w:r>
              <w:rPr>
                <w:b/>
                <w:bCs/>
                <w:color w:val="FFFFFF"/>
                <w:sz w:val="18"/>
                <w:szCs w:val="18"/>
              </w:rPr>
              <w:t>10-Day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46642560" w14:textId="77777777" w:rsidR="00C57BC4" w:rsidRDefault="00000000">
            <w:pPr>
              <w:jc w:val="center"/>
            </w:pPr>
            <w:r>
              <w:rPr>
                <w:b/>
                <w:bCs/>
                <w:color w:val="FFFFFF"/>
                <w:sz w:val="18"/>
                <w:szCs w:val="18"/>
              </w:rPr>
              <w:t>10-Day Bear</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0AFAA95F" w14:textId="77777777" w:rsidR="00C57BC4" w:rsidRDefault="00000000">
            <w:pPr>
              <w:jc w:val="center"/>
            </w:pPr>
            <w:r>
              <w:rPr>
                <w:b/>
                <w:bCs/>
                <w:color w:val="FFFFFF"/>
                <w:sz w:val="18"/>
                <w:szCs w:val="18"/>
              </w:rPr>
              <w:t>30-Day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4D405EA7" w14:textId="77777777" w:rsidR="00C57BC4" w:rsidRDefault="00000000">
            <w:pPr>
              <w:jc w:val="center"/>
            </w:pPr>
            <w:r>
              <w:rPr>
                <w:b/>
                <w:bCs/>
                <w:color w:val="FFFFFF"/>
                <w:sz w:val="18"/>
                <w:szCs w:val="18"/>
              </w:rPr>
              <w:t>30-Day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397C0EE6" w14:textId="77777777" w:rsidR="00C57BC4" w:rsidRDefault="00000000">
            <w:pPr>
              <w:jc w:val="center"/>
            </w:pPr>
            <w:r>
              <w:rPr>
                <w:b/>
                <w:bCs/>
                <w:color w:val="FFFFFF"/>
                <w:sz w:val="18"/>
                <w:szCs w:val="18"/>
              </w:rPr>
              <w:t>30-Day Bear</w:t>
            </w:r>
          </w:p>
        </w:tc>
      </w:tr>
      <w:tr w:rsidR="00C57BC4" w14:paraId="5C1AFC34"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2CCFF6B3" w14:textId="77777777" w:rsidR="00C57BC4" w:rsidRDefault="00000000">
            <w:r>
              <w:rPr>
                <w:b/>
                <w:bCs/>
                <w:color w:val="1E3A5F"/>
                <w:sz w:val="20"/>
                <w:szCs w:val="20"/>
              </w:rPr>
              <w:t>Claude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13802D9" w14:textId="77777777" w:rsidR="00C57BC4" w:rsidRDefault="00000000">
            <w:pPr>
              <w:jc w:val="center"/>
            </w:pPr>
            <w:r>
              <w:rPr>
                <w:b/>
                <w:bCs/>
                <w:color w:val="6B7280"/>
                <w:sz w:val="20"/>
                <w:szCs w:val="20"/>
              </w:rPr>
              <w:t>22%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CD22629"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50EB8E1" w14:textId="77777777" w:rsidR="00C57BC4" w:rsidRDefault="00000000">
            <w:pPr>
              <w:jc w:val="center"/>
            </w:pPr>
            <w:r>
              <w:rPr>
                <w:b/>
                <w:bCs/>
                <w:color w:val="B91C1C"/>
                <w:sz w:val="20"/>
                <w:szCs w:val="20"/>
              </w:rPr>
              <w:t>60%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0D75C3D" w14:textId="77777777" w:rsidR="00C57BC4" w:rsidRDefault="00000000">
            <w:pPr>
              <w:jc w:val="center"/>
            </w:pPr>
            <w:r>
              <w:rPr>
                <w:b/>
                <w:bCs/>
                <w:color w:val="6B7280"/>
                <w:sz w:val="20"/>
                <w:szCs w:val="20"/>
              </w:rPr>
              <w:t>27%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0FA7B75"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45F1589" w14:textId="77777777" w:rsidR="00C57BC4" w:rsidRDefault="00000000">
            <w:pPr>
              <w:jc w:val="center"/>
            </w:pPr>
            <w:r>
              <w:rPr>
                <w:b/>
                <w:bCs/>
                <w:color w:val="B91C1C"/>
                <w:sz w:val="20"/>
                <w:szCs w:val="20"/>
              </w:rPr>
              <w:t>55%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ECA2766" w14:textId="77777777" w:rsidR="00C57BC4" w:rsidRDefault="00000000">
            <w:pPr>
              <w:jc w:val="center"/>
            </w:pPr>
            <w:r>
              <w:rPr>
                <w:b/>
                <w:bCs/>
                <w:color w:val="166534"/>
                <w:sz w:val="20"/>
                <w:szCs w:val="20"/>
              </w:rPr>
              <w:t>35%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C564CD9" w14:textId="77777777" w:rsidR="00C57BC4" w:rsidRDefault="00000000">
            <w:pPr>
              <w:jc w:val="center"/>
            </w:pPr>
            <w:r>
              <w:rPr>
                <w:b/>
                <w:bCs/>
                <w:color w:val="6B7280"/>
                <w:sz w:val="20"/>
                <w:szCs w:val="20"/>
              </w:rPr>
              <w:t>17%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35CEDDAD" w14:textId="77777777" w:rsidR="00C57BC4" w:rsidRDefault="00000000">
            <w:pPr>
              <w:jc w:val="center"/>
            </w:pPr>
            <w:r>
              <w:rPr>
                <w:b/>
                <w:bCs/>
                <w:color w:val="991B1B"/>
                <w:sz w:val="20"/>
                <w:szCs w:val="20"/>
              </w:rPr>
              <w:t>48%</w:t>
            </w:r>
          </w:p>
        </w:tc>
      </w:tr>
      <w:tr w:rsidR="00C57BC4" w14:paraId="57EB915F"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124A463D" w14:textId="77777777" w:rsidR="00C57BC4" w:rsidRDefault="00000000">
            <w:r>
              <w:rPr>
                <w:b/>
                <w:bCs/>
                <w:color w:val="1E3A5F"/>
                <w:sz w:val="20"/>
                <w:szCs w:val="20"/>
              </w:rPr>
              <w:t>ChatGPT</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675427D" w14:textId="77777777" w:rsidR="00C57BC4" w:rsidRDefault="00000000">
            <w:pPr>
              <w:jc w:val="center"/>
            </w:pPr>
            <w:r>
              <w:rPr>
                <w:b/>
                <w:bCs/>
                <w:color w:val="6B7280"/>
                <w:sz w:val="20"/>
                <w:szCs w:val="20"/>
              </w:rPr>
              <w:t>20%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B849552" w14:textId="77777777" w:rsidR="00C57BC4" w:rsidRDefault="00000000">
            <w:pPr>
              <w:jc w:val="center"/>
            </w:pPr>
            <w:r>
              <w:rPr>
                <w:b/>
                <w:bCs/>
                <w:color w:val="6B7280"/>
                <w:sz w:val="20"/>
                <w:szCs w:val="20"/>
              </w:rPr>
              <w:t>20%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8613172" w14:textId="77777777" w:rsidR="00C57BC4" w:rsidRDefault="00000000">
            <w:pPr>
              <w:jc w:val="center"/>
            </w:pPr>
            <w:r>
              <w:rPr>
                <w:b/>
                <w:bCs/>
                <w:color w:val="B91C1C"/>
                <w:sz w:val="20"/>
                <w:szCs w:val="20"/>
              </w:rPr>
              <w:t>60%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3B2C744" w14:textId="77777777" w:rsidR="00C57BC4" w:rsidRDefault="00000000">
            <w:pPr>
              <w:jc w:val="center"/>
            </w:pPr>
            <w:r>
              <w:rPr>
                <w:b/>
                <w:bCs/>
                <w:color w:val="6B7280"/>
                <w:sz w:val="20"/>
                <w:szCs w:val="20"/>
              </w:rPr>
              <w:t>25%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C936847" w14:textId="77777777" w:rsidR="00C57BC4" w:rsidRDefault="00000000">
            <w:pPr>
              <w:jc w:val="center"/>
            </w:pPr>
            <w:r>
              <w:rPr>
                <w:b/>
                <w:bCs/>
                <w:color w:val="6B7280"/>
                <w:sz w:val="20"/>
                <w:szCs w:val="20"/>
              </w:rPr>
              <w:t>20%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E1426D7" w14:textId="77777777" w:rsidR="00C57BC4" w:rsidRDefault="00000000">
            <w:pPr>
              <w:jc w:val="center"/>
            </w:pPr>
            <w:r>
              <w:rPr>
                <w:b/>
                <w:bCs/>
                <w:color w:val="B91C1C"/>
                <w:sz w:val="20"/>
                <w:szCs w:val="20"/>
              </w:rPr>
              <w:t>55%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3622BEAD" w14:textId="77777777" w:rsidR="00C57BC4" w:rsidRDefault="00000000">
            <w:pPr>
              <w:jc w:val="center"/>
            </w:pPr>
            <w:r>
              <w:rPr>
                <w:b/>
                <w:bCs/>
                <w:color w:val="166534"/>
                <w:sz w:val="20"/>
                <w:szCs w:val="20"/>
              </w:rPr>
              <w:t>35%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DF9D201" w14:textId="77777777" w:rsidR="00C57BC4" w:rsidRDefault="00000000">
            <w:pPr>
              <w:jc w:val="center"/>
            </w:pPr>
            <w:r>
              <w:rPr>
                <w:b/>
                <w:bCs/>
                <w:color w:val="6B7280"/>
                <w:sz w:val="20"/>
                <w:szCs w:val="20"/>
              </w:rPr>
              <w:t>20%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3FA646E" w14:textId="77777777" w:rsidR="00C57BC4" w:rsidRDefault="00000000">
            <w:pPr>
              <w:jc w:val="center"/>
            </w:pPr>
            <w:r>
              <w:rPr>
                <w:b/>
                <w:bCs/>
                <w:color w:val="991B1B"/>
                <w:sz w:val="20"/>
                <w:szCs w:val="20"/>
              </w:rPr>
              <w:t>45%</w:t>
            </w:r>
          </w:p>
        </w:tc>
      </w:tr>
      <w:tr w:rsidR="00C57BC4" w14:paraId="77B71717"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0334D94F" w14:textId="77777777" w:rsidR="00C57BC4" w:rsidRDefault="00000000">
            <w:r>
              <w:rPr>
                <w:b/>
                <w:bCs/>
                <w:color w:val="1E3A5F"/>
                <w:sz w:val="20"/>
                <w:szCs w:val="20"/>
              </w:rPr>
              <w:t>DeepSeek</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D815F7A"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7389282" w14:textId="77777777" w:rsidR="00C57BC4" w:rsidRDefault="00000000">
            <w:pPr>
              <w:jc w:val="center"/>
            </w:pPr>
            <w:r>
              <w:rPr>
                <w:b/>
                <w:bCs/>
                <w:color w:val="6B7280"/>
                <w:sz w:val="20"/>
                <w:szCs w:val="20"/>
              </w:rPr>
              <w:t>17%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0593EC6" w14:textId="77777777" w:rsidR="00C57BC4" w:rsidRDefault="00000000">
            <w:pPr>
              <w:jc w:val="center"/>
            </w:pPr>
            <w:r>
              <w:rPr>
                <w:b/>
                <w:bCs/>
                <w:color w:val="B91C1C"/>
                <w:sz w:val="20"/>
                <w:szCs w:val="20"/>
              </w:rPr>
              <w:t>65%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AC9F897" w14:textId="77777777" w:rsidR="00C57BC4" w:rsidRDefault="00000000">
            <w:pPr>
              <w:jc w:val="center"/>
            </w:pPr>
            <w:r>
              <w:rPr>
                <w:b/>
                <w:bCs/>
                <w:color w:val="6B7280"/>
                <w:sz w:val="20"/>
                <w:szCs w:val="20"/>
              </w:rPr>
              <w:t>22%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1527758"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3B9578A" w14:textId="77777777" w:rsidR="00C57BC4" w:rsidRDefault="00000000">
            <w:pPr>
              <w:jc w:val="center"/>
            </w:pPr>
            <w:r>
              <w:rPr>
                <w:b/>
                <w:bCs/>
                <w:color w:val="B91C1C"/>
                <w:sz w:val="20"/>
                <w:szCs w:val="20"/>
              </w:rPr>
              <w:t>60%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8602A8A" w14:textId="77777777" w:rsidR="00C57BC4" w:rsidRDefault="00000000">
            <w:pPr>
              <w:jc w:val="center"/>
            </w:pPr>
            <w:r>
              <w:rPr>
                <w:b/>
                <w:bCs/>
                <w:color w:val="6B7280"/>
                <w:sz w:val="20"/>
                <w:szCs w:val="20"/>
              </w:rPr>
              <w:t>32%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C4CCF10"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9B09E56" w14:textId="77777777" w:rsidR="00C57BC4" w:rsidRDefault="00000000">
            <w:pPr>
              <w:jc w:val="center"/>
            </w:pPr>
            <w:r>
              <w:rPr>
                <w:b/>
                <w:bCs/>
                <w:color w:val="B91C1C"/>
                <w:sz w:val="20"/>
                <w:szCs w:val="20"/>
              </w:rPr>
              <w:t>50%</w:t>
            </w:r>
          </w:p>
        </w:tc>
      </w:tr>
      <w:tr w:rsidR="00C57BC4" w14:paraId="7232EA92"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45FDC2FE" w14:textId="77777777" w:rsidR="00C57BC4" w:rsidRDefault="00000000">
            <w:r>
              <w:rPr>
                <w:b/>
                <w:bCs/>
                <w:color w:val="1E3A5F"/>
                <w:sz w:val="20"/>
                <w:szCs w:val="20"/>
              </w:rPr>
              <w:t>Consensus</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332E6B02" w14:textId="77777777" w:rsidR="00C57BC4" w:rsidRDefault="00000000">
            <w:pPr>
              <w:jc w:val="center"/>
            </w:pPr>
            <w:r>
              <w:rPr>
                <w:b/>
                <w:bCs/>
                <w:color w:val="6B7280"/>
                <w:sz w:val="20"/>
                <w:szCs w:val="20"/>
              </w:rPr>
              <w:t>20%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6CBF250"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91B9E96" w14:textId="77777777" w:rsidR="00C57BC4" w:rsidRDefault="00000000">
            <w:pPr>
              <w:jc w:val="center"/>
            </w:pPr>
            <w:r>
              <w:rPr>
                <w:b/>
                <w:bCs/>
                <w:color w:val="B91C1C"/>
                <w:sz w:val="20"/>
                <w:szCs w:val="20"/>
              </w:rPr>
              <w:t>62%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39FAAD3" w14:textId="77777777" w:rsidR="00C57BC4" w:rsidRDefault="00000000">
            <w:pPr>
              <w:jc w:val="center"/>
            </w:pPr>
            <w:r>
              <w:rPr>
                <w:b/>
                <w:bCs/>
                <w:color w:val="6B7280"/>
                <w:sz w:val="20"/>
                <w:szCs w:val="20"/>
              </w:rPr>
              <w:t>25%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3F691B52" w14:textId="77777777" w:rsidR="00C57BC4" w:rsidRDefault="00000000">
            <w:pPr>
              <w:jc w:val="center"/>
            </w:pPr>
            <w:r>
              <w:rPr>
                <w:b/>
                <w:bCs/>
                <w:color w:val="6B7280"/>
                <w:sz w:val="20"/>
                <w:szCs w:val="20"/>
              </w:rPr>
              <w:t>19%</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3E49FB3F" w14:textId="77777777" w:rsidR="00C57BC4" w:rsidRDefault="00000000">
            <w:pPr>
              <w:jc w:val="center"/>
            </w:pPr>
            <w:r>
              <w:rPr>
                <w:b/>
                <w:bCs/>
                <w:color w:val="B91C1C"/>
                <w:sz w:val="20"/>
                <w:szCs w:val="20"/>
              </w:rPr>
              <w:t>57%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37386D4A" w14:textId="77777777" w:rsidR="00C57BC4" w:rsidRDefault="00000000">
            <w:pPr>
              <w:jc w:val="center"/>
            </w:pPr>
            <w:r>
              <w:rPr>
                <w:b/>
                <w:bCs/>
                <w:color w:val="6B7280"/>
                <w:sz w:val="20"/>
                <w:szCs w:val="20"/>
              </w:rPr>
              <w:t>34%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AC57BB7"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527C810" w14:textId="77777777" w:rsidR="00C57BC4" w:rsidRDefault="00000000">
            <w:pPr>
              <w:jc w:val="center"/>
            </w:pPr>
            <w:r>
              <w:rPr>
                <w:b/>
                <w:bCs/>
                <w:color w:val="991B1B"/>
                <w:sz w:val="20"/>
                <w:szCs w:val="20"/>
              </w:rPr>
              <w:t>48%</w:t>
            </w:r>
          </w:p>
        </w:tc>
      </w:tr>
    </w:tbl>
    <w:p w14:paraId="265DDE4C" w14:textId="77777777" w:rsidR="00C57BC4" w:rsidRDefault="00C57BC4">
      <w:pPr>
        <w:spacing w:before="80" w:after="80"/>
      </w:pPr>
    </w:p>
    <w:p w14:paraId="7A25DBCD" w14:textId="77777777" w:rsidR="00C57BC4" w:rsidRDefault="00000000">
      <w:pPr>
        <w:pStyle w:val="Heading2"/>
      </w:pPr>
      <w:r>
        <w:t>Tuesday April 7 — Inventory Signals Accelerate</w:t>
      </w:r>
    </w:p>
    <w:p w14:paraId="196E51A5" w14:textId="77777777" w:rsidR="00C57BC4" w:rsidRDefault="00000000">
      <w:pPr>
        <w:spacing w:before="80" w:after="80"/>
      </w:pPr>
      <w:r>
        <w:t xml:space="preserve">Tuesday produced one of the more structurally revealing sessions of the week. Silver tested $71.20 intraday — below the April 6 low — then recovered sharply to close near $72.95. The paper price was effectively flat on the day, but the physical data was </w:t>
      </w:r>
      <w:proofErr w:type="gramStart"/>
      <w:r>
        <w:t>anything</w:t>
      </w:r>
      <w:proofErr w:type="gramEnd"/>
      <w:r>
        <w:t xml:space="preserve"> but. COMEX eligible inventory fell 1.65 million ounces in a single session, the largest eligible decline in the entire run series. Simultaneously, registered inventory rose 698,900 ounces — metal converting from non-deliverable to deliverable status, the mechanical precursor to delivery demand. The China premium expanded to 12.04%, its highest reading in weeks.</w:t>
      </w:r>
    </w:p>
    <w:p w14:paraId="383ED852" w14:textId="77777777" w:rsidR="00C57BC4" w:rsidRDefault="00C57BC4">
      <w:pPr>
        <w:spacing w:before="40" w:after="40"/>
      </w:pPr>
    </w:p>
    <w:p w14:paraId="5DFD902A" w14:textId="77777777" w:rsidR="00C57BC4" w:rsidRDefault="00000000">
      <w:pPr>
        <w:spacing w:before="80" w:after="80"/>
      </w:pPr>
      <w:r>
        <w:lastRenderedPageBreak/>
        <w:t>The COMEX spread widened to $0.03–0.15 from Monday’s near-zero compression, which prevented an immediate structural reclassification but did not resolve the underlying tension. The gold–silver ratio reversed sharply to 64.52, moving away from the 63.00 threshold and reducing the near-term urgency of Disproof Condition 2.</w:t>
      </w:r>
    </w:p>
    <w:p w14:paraId="639074F2" w14:textId="77777777" w:rsidR="00C57BC4" w:rsidRDefault="00C57BC4">
      <w:pPr>
        <w:spacing w:before="40" w:after="40"/>
      </w:pPr>
    </w:p>
    <w:p w14:paraId="37E35203" w14:textId="77777777" w:rsidR="00C57BC4" w:rsidRDefault="00000000">
      <w:pPr>
        <w:spacing w:before="80" w:after="80"/>
      </w:pPr>
      <w:r>
        <w:t xml:space="preserve">Miners posted modest outperformance for the first time in several sessions — HUI +0.74%, SILJ +0.56% while silver was flat. The framework correctly noted this as a single-session observation insufficient for Day 1 designation, but all three AIs flagged it as potentially significant if it persisted. DeepSeek </w:t>
      </w:r>
      <w:proofErr w:type="gramStart"/>
      <w:r>
        <w:t>in particular pushed</w:t>
      </w:r>
      <w:proofErr w:type="gramEnd"/>
      <w:r>
        <w:t xml:space="preserve"> hardest on this point, arguing the eligible inventory drain was “the dominant structural force quietly building.”</w:t>
      </w:r>
    </w:p>
    <w:p w14:paraId="26CE1EB9" w14:textId="77777777" w:rsidR="00C57BC4" w:rsidRDefault="00C57BC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0"/>
        <w:gridCol w:w="848"/>
        <w:gridCol w:w="873"/>
        <w:gridCol w:w="873"/>
        <w:gridCol w:w="891"/>
        <w:gridCol w:w="916"/>
        <w:gridCol w:w="916"/>
        <w:gridCol w:w="891"/>
        <w:gridCol w:w="916"/>
        <w:gridCol w:w="916"/>
      </w:tblGrid>
      <w:tr w:rsidR="00C57BC4" w14:paraId="107D2043" w14:textId="77777777">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4C7D6CAF" w14:textId="77777777" w:rsidR="00C57BC4" w:rsidRDefault="00C57BC4">
            <w:pPr>
              <w:jc w:val="center"/>
            </w:pP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02BF4860" w14:textId="77777777" w:rsidR="00C57BC4" w:rsidRDefault="00000000">
            <w:pPr>
              <w:jc w:val="center"/>
            </w:pPr>
            <w:r>
              <w:rPr>
                <w:b/>
                <w:bCs/>
                <w:color w:val="FFFFFF"/>
                <w:sz w:val="18"/>
                <w:szCs w:val="18"/>
              </w:rPr>
              <w:t>5-Day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7F483355" w14:textId="77777777" w:rsidR="00C57BC4" w:rsidRDefault="00000000">
            <w:pPr>
              <w:jc w:val="center"/>
            </w:pPr>
            <w:r>
              <w:rPr>
                <w:b/>
                <w:bCs/>
                <w:color w:val="FFFFFF"/>
                <w:sz w:val="18"/>
                <w:szCs w:val="18"/>
              </w:rPr>
              <w:t>5-Day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0FE64762" w14:textId="77777777" w:rsidR="00C57BC4" w:rsidRDefault="00000000">
            <w:pPr>
              <w:jc w:val="center"/>
            </w:pPr>
            <w:r>
              <w:rPr>
                <w:b/>
                <w:bCs/>
                <w:color w:val="FFFFFF"/>
                <w:sz w:val="18"/>
                <w:szCs w:val="18"/>
              </w:rPr>
              <w:t>5-Day Bear</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104D3C9E" w14:textId="77777777" w:rsidR="00C57BC4" w:rsidRDefault="00000000">
            <w:pPr>
              <w:jc w:val="center"/>
            </w:pPr>
            <w:r>
              <w:rPr>
                <w:b/>
                <w:bCs/>
                <w:color w:val="FFFFFF"/>
                <w:sz w:val="18"/>
                <w:szCs w:val="18"/>
              </w:rPr>
              <w:t>10-Day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7E1B2DD8" w14:textId="77777777" w:rsidR="00C57BC4" w:rsidRDefault="00000000">
            <w:pPr>
              <w:jc w:val="center"/>
            </w:pPr>
            <w:r>
              <w:rPr>
                <w:b/>
                <w:bCs/>
                <w:color w:val="FFFFFF"/>
                <w:sz w:val="18"/>
                <w:szCs w:val="18"/>
              </w:rPr>
              <w:t>10-Day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73BABD5D" w14:textId="77777777" w:rsidR="00C57BC4" w:rsidRDefault="00000000">
            <w:pPr>
              <w:jc w:val="center"/>
            </w:pPr>
            <w:r>
              <w:rPr>
                <w:b/>
                <w:bCs/>
                <w:color w:val="FFFFFF"/>
                <w:sz w:val="18"/>
                <w:szCs w:val="18"/>
              </w:rPr>
              <w:t>10-Day Bear</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5DFF8967" w14:textId="77777777" w:rsidR="00C57BC4" w:rsidRDefault="00000000">
            <w:pPr>
              <w:jc w:val="center"/>
            </w:pPr>
            <w:r>
              <w:rPr>
                <w:b/>
                <w:bCs/>
                <w:color w:val="FFFFFF"/>
                <w:sz w:val="18"/>
                <w:szCs w:val="18"/>
              </w:rPr>
              <w:t>30-Day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2F470E8F" w14:textId="77777777" w:rsidR="00C57BC4" w:rsidRDefault="00000000">
            <w:pPr>
              <w:jc w:val="center"/>
            </w:pPr>
            <w:r>
              <w:rPr>
                <w:b/>
                <w:bCs/>
                <w:color w:val="FFFFFF"/>
                <w:sz w:val="18"/>
                <w:szCs w:val="18"/>
              </w:rPr>
              <w:t>30-Day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54064B21" w14:textId="77777777" w:rsidR="00C57BC4" w:rsidRDefault="00000000">
            <w:pPr>
              <w:jc w:val="center"/>
            </w:pPr>
            <w:r>
              <w:rPr>
                <w:b/>
                <w:bCs/>
                <w:color w:val="FFFFFF"/>
                <w:sz w:val="18"/>
                <w:szCs w:val="18"/>
              </w:rPr>
              <w:t>30-Day Bear</w:t>
            </w:r>
          </w:p>
        </w:tc>
      </w:tr>
      <w:tr w:rsidR="00C57BC4" w14:paraId="1E3C98E1"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2B4B53B4" w14:textId="77777777" w:rsidR="00C57BC4" w:rsidRDefault="00000000">
            <w:r>
              <w:rPr>
                <w:b/>
                <w:bCs/>
                <w:color w:val="1E3A5F"/>
                <w:sz w:val="20"/>
                <w:szCs w:val="20"/>
              </w:rPr>
              <w:t>Claude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3D6DE10" w14:textId="77777777" w:rsidR="00C57BC4" w:rsidRDefault="00000000">
            <w:pPr>
              <w:jc w:val="center"/>
            </w:pPr>
            <w:r>
              <w:rPr>
                <w:b/>
                <w:bCs/>
                <w:color w:val="6B7280"/>
                <w:sz w:val="20"/>
                <w:szCs w:val="20"/>
              </w:rPr>
              <w:t>25%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511ABBB"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1F60D4E" w14:textId="77777777" w:rsidR="00C57BC4" w:rsidRDefault="00000000">
            <w:pPr>
              <w:jc w:val="center"/>
            </w:pPr>
            <w:r>
              <w:rPr>
                <w:b/>
                <w:bCs/>
                <w:color w:val="B91C1C"/>
                <w:sz w:val="20"/>
                <w:szCs w:val="20"/>
              </w:rPr>
              <w:t>57%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7696A84" w14:textId="77777777" w:rsidR="00C57BC4" w:rsidRDefault="00000000">
            <w:pPr>
              <w:jc w:val="center"/>
            </w:pPr>
            <w:r>
              <w:rPr>
                <w:b/>
                <w:bCs/>
                <w:color w:val="6B7280"/>
                <w:sz w:val="20"/>
                <w:szCs w:val="20"/>
              </w:rPr>
              <w:t>30%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228031F" w14:textId="77777777" w:rsidR="00C57BC4" w:rsidRDefault="00000000">
            <w:pPr>
              <w:jc w:val="center"/>
            </w:pPr>
            <w:r>
              <w:rPr>
                <w:b/>
                <w:bCs/>
                <w:color w:val="6B7280"/>
                <w:sz w:val="20"/>
                <w:szCs w:val="20"/>
              </w:rPr>
              <w:t>17%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40CACCF" w14:textId="77777777" w:rsidR="00C57BC4" w:rsidRDefault="00000000">
            <w:pPr>
              <w:jc w:val="center"/>
            </w:pPr>
            <w:r>
              <w:rPr>
                <w:b/>
                <w:bCs/>
                <w:color w:val="B91C1C"/>
                <w:sz w:val="20"/>
                <w:szCs w:val="20"/>
              </w:rPr>
              <w:t>53%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54E2E14" w14:textId="77777777" w:rsidR="00C57BC4" w:rsidRDefault="00000000">
            <w:pPr>
              <w:jc w:val="center"/>
            </w:pPr>
            <w:r>
              <w:rPr>
                <w:b/>
                <w:bCs/>
                <w:color w:val="166534"/>
                <w:sz w:val="20"/>
                <w:szCs w:val="20"/>
              </w:rPr>
              <w:t>38%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34AADE6" w14:textId="77777777" w:rsidR="00C57BC4" w:rsidRDefault="00000000">
            <w:pPr>
              <w:jc w:val="center"/>
            </w:pPr>
            <w:r>
              <w:rPr>
                <w:b/>
                <w:bCs/>
                <w:color w:val="6B7280"/>
                <w:sz w:val="20"/>
                <w:szCs w:val="20"/>
              </w:rPr>
              <w:t>16%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2FE3B79" w14:textId="77777777" w:rsidR="00C57BC4" w:rsidRDefault="00000000">
            <w:pPr>
              <w:jc w:val="center"/>
            </w:pPr>
            <w:r>
              <w:rPr>
                <w:b/>
                <w:bCs/>
                <w:color w:val="991B1B"/>
                <w:sz w:val="20"/>
                <w:szCs w:val="20"/>
              </w:rPr>
              <w:t>46%</w:t>
            </w:r>
          </w:p>
        </w:tc>
      </w:tr>
      <w:tr w:rsidR="00C57BC4" w14:paraId="0AD4B250"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15C1B666" w14:textId="77777777" w:rsidR="00C57BC4" w:rsidRDefault="00000000">
            <w:r>
              <w:rPr>
                <w:b/>
                <w:bCs/>
                <w:color w:val="1E3A5F"/>
                <w:sz w:val="20"/>
                <w:szCs w:val="20"/>
              </w:rPr>
              <w:t>ChatGPT</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37F258C" w14:textId="77777777" w:rsidR="00C57BC4" w:rsidRDefault="00000000">
            <w:pPr>
              <w:jc w:val="center"/>
            </w:pPr>
            <w:r>
              <w:rPr>
                <w:b/>
                <w:bCs/>
                <w:color w:val="6B7280"/>
                <w:sz w:val="20"/>
                <w:szCs w:val="20"/>
              </w:rPr>
              <w:t>23%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FD03210" w14:textId="77777777" w:rsidR="00C57BC4" w:rsidRDefault="00000000">
            <w:pPr>
              <w:jc w:val="center"/>
            </w:pPr>
            <w:r>
              <w:rPr>
                <w:b/>
                <w:bCs/>
                <w:color w:val="6B7280"/>
                <w:sz w:val="20"/>
                <w:szCs w:val="20"/>
              </w:rPr>
              <w:t>20%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11D9794" w14:textId="77777777" w:rsidR="00C57BC4" w:rsidRDefault="00000000">
            <w:pPr>
              <w:jc w:val="center"/>
            </w:pPr>
            <w:r>
              <w:rPr>
                <w:b/>
                <w:bCs/>
                <w:color w:val="B91C1C"/>
                <w:sz w:val="20"/>
                <w:szCs w:val="20"/>
              </w:rPr>
              <w:t>57%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74D0E11" w14:textId="77777777" w:rsidR="00C57BC4" w:rsidRDefault="00000000">
            <w:pPr>
              <w:jc w:val="center"/>
            </w:pPr>
            <w:r>
              <w:rPr>
                <w:b/>
                <w:bCs/>
                <w:color w:val="6B7280"/>
                <w:sz w:val="20"/>
                <w:szCs w:val="20"/>
              </w:rPr>
              <w:t>28%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2215B0D" w14:textId="77777777" w:rsidR="00C57BC4" w:rsidRDefault="00000000">
            <w:pPr>
              <w:jc w:val="center"/>
            </w:pPr>
            <w:r>
              <w:rPr>
                <w:b/>
                <w:bCs/>
                <w:color w:val="6B7280"/>
                <w:sz w:val="20"/>
                <w:szCs w:val="20"/>
              </w:rPr>
              <w:t>20%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4AEB007" w14:textId="77777777" w:rsidR="00C57BC4" w:rsidRDefault="00000000">
            <w:pPr>
              <w:jc w:val="center"/>
            </w:pPr>
            <w:r>
              <w:rPr>
                <w:b/>
                <w:bCs/>
                <w:color w:val="B91C1C"/>
                <w:sz w:val="20"/>
                <w:szCs w:val="20"/>
              </w:rPr>
              <w:t>52%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CA3E020" w14:textId="77777777" w:rsidR="00C57BC4" w:rsidRDefault="00000000">
            <w:pPr>
              <w:jc w:val="center"/>
            </w:pPr>
            <w:r>
              <w:rPr>
                <w:b/>
                <w:bCs/>
                <w:color w:val="166534"/>
                <w:sz w:val="20"/>
                <w:szCs w:val="20"/>
              </w:rPr>
              <w:t>38%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5DA0577" w14:textId="77777777" w:rsidR="00C57BC4" w:rsidRDefault="00000000">
            <w:pPr>
              <w:jc w:val="center"/>
            </w:pPr>
            <w:r>
              <w:rPr>
                <w:b/>
                <w:bCs/>
                <w:color w:val="6B7280"/>
                <w:sz w:val="20"/>
                <w:szCs w:val="20"/>
              </w:rPr>
              <w:t>19%</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81077E7" w14:textId="77777777" w:rsidR="00C57BC4" w:rsidRDefault="00000000">
            <w:pPr>
              <w:jc w:val="center"/>
            </w:pPr>
            <w:r>
              <w:rPr>
                <w:b/>
                <w:bCs/>
                <w:color w:val="991B1B"/>
                <w:sz w:val="20"/>
                <w:szCs w:val="20"/>
              </w:rPr>
              <w:t>43%</w:t>
            </w:r>
          </w:p>
        </w:tc>
      </w:tr>
      <w:tr w:rsidR="00C57BC4" w14:paraId="0E22E169"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1CC94EED" w14:textId="77777777" w:rsidR="00C57BC4" w:rsidRDefault="00000000">
            <w:r>
              <w:rPr>
                <w:b/>
                <w:bCs/>
                <w:color w:val="1E3A5F"/>
                <w:sz w:val="20"/>
                <w:szCs w:val="20"/>
              </w:rPr>
              <w:t>DeepSeek</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1E5A5D9" w14:textId="77777777" w:rsidR="00C57BC4" w:rsidRDefault="00000000">
            <w:pPr>
              <w:jc w:val="center"/>
            </w:pPr>
            <w:r>
              <w:rPr>
                <w:b/>
                <w:bCs/>
                <w:color w:val="6B7280"/>
                <w:sz w:val="20"/>
                <w:szCs w:val="20"/>
              </w:rPr>
              <w:t>22%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218682D" w14:textId="77777777" w:rsidR="00C57BC4" w:rsidRDefault="00000000">
            <w:pPr>
              <w:jc w:val="center"/>
            </w:pPr>
            <w:r>
              <w:rPr>
                <w:b/>
                <w:bCs/>
                <w:color w:val="6B7280"/>
                <w:sz w:val="20"/>
                <w:szCs w:val="20"/>
              </w:rPr>
              <w:t>16%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D614104" w14:textId="77777777" w:rsidR="00C57BC4" w:rsidRDefault="00000000">
            <w:pPr>
              <w:jc w:val="center"/>
            </w:pPr>
            <w:r>
              <w:rPr>
                <w:b/>
                <w:bCs/>
                <w:color w:val="B91C1C"/>
                <w:sz w:val="20"/>
                <w:szCs w:val="20"/>
              </w:rPr>
              <w:t>62%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70818E9" w14:textId="77777777" w:rsidR="00C57BC4" w:rsidRDefault="00000000">
            <w:pPr>
              <w:jc w:val="center"/>
            </w:pPr>
            <w:r>
              <w:rPr>
                <w:b/>
                <w:bCs/>
                <w:color w:val="6B7280"/>
                <w:sz w:val="20"/>
                <w:szCs w:val="20"/>
              </w:rPr>
              <w:t>27%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CB0700B" w14:textId="77777777" w:rsidR="00C57BC4" w:rsidRDefault="00000000">
            <w:pPr>
              <w:jc w:val="center"/>
            </w:pPr>
            <w:r>
              <w:rPr>
                <w:b/>
                <w:bCs/>
                <w:color w:val="6B7280"/>
                <w:sz w:val="20"/>
                <w:szCs w:val="20"/>
              </w:rPr>
              <w:t>17%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7C74831" w14:textId="77777777" w:rsidR="00C57BC4" w:rsidRDefault="00000000">
            <w:pPr>
              <w:jc w:val="center"/>
            </w:pPr>
            <w:r>
              <w:rPr>
                <w:b/>
                <w:bCs/>
                <w:color w:val="B91C1C"/>
                <w:sz w:val="20"/>
                <w:szCs w:val="20"/>
              </w:rPr>
              <w:t>56%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3292C62" w14:textId="77777777" w:rsidR="00C57BC4" w:rsidRDefault="00000000">
            <w:pPr>
              <w:jc w:val="center"/>
            </w:pPr>
            <w:r>
              <w:rPr>
                <w:b/>
                <w:bCs/>
                <w:color w:val="166534"/>
                <w:sz w:val="20"/>
                <w:szCs w:val="20"/>
              </w:rPr>
              <w:t>36%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D98885C" w14:textId="77777777" w:rsidR="00C57BC4" w:rsidRDefault="00000000">
            <w:pPr>
              <w:jc w:val="center"/>
            </w:pPr>
            <w:r>
              <w:rPr>
                <w:b/>
                <w:bCs/>
                <w:color w:val="6B7280"/>
                <w:sz w:val="20"/>
                <w:szCs w:val="20"/>
              </w:rPr>
              <w:t>16%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FB42CAF" w14:textId="77777777" w:rsidR="00C57BC4" w:rsidRDefault="00000000">
            <w:pPr>
              <w:jc w:val="center"/>
            </w:pPr>
            <w:r>
              <w:rPr>
                <w:b/>
                <w:bCs/>
                <w:color w:val="991B1B"/>
                <w:sz w:val="20"/>
                <w:szCs w:val="20"/>
              </w:rPr>
              <w:t>48%</w:t>
            </w:r>
          </w:p>
        </w:tc>
      </w:tr>
      <w:tr w:rsidR="00C57BC4" w14:paraId="103963DF"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6B2E3695" w14:textId="77777777" w:rsidR="00C57BC4" w:rsidRDefault="00000000">
            <w:r>
              <w:rPr>
                <w:b/>
                <w:bCs/>
                <w:color w:val="1E3A5F"/>
                <w:sz w:val="20"/>
                <w:szCs w:val="20"/>
              </w:rPr>
              <w:t>Consensus</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6F0F03B" w14:textId="77777777" w:rsidR="00C57BC4" w:rsidRDefault="00000000">
            <w:pPr>
              <w:jc w:val="center"/>
            </w:pPr>
            <w:r>
              <w:rPr>
                <w:b/>
                <w:bCs/>
                <w:color w:val="6B7280"/>
                <w:sz w:val="20"/>
                <w:szCs w:val="20"/>
              </w:rPr>
              <w:t>23%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43CFC3F"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2A5DD8B" w14:textId="77777777" w:rsidR="00C57BC4" w:rsidRDefault="00000000">
            <w:pPr>
              <w:jc w:val="center"/>
            </w:pPr>
            <w:r>
              <w:rPr>
                <w:b/>
                <w:bCs/>
                <w:color w:val="B91C1C"/>
                <w:sz w:val="20"/>
                <w:szCs w:val="20"/>
              </w:rPr>
              <w:t>59%</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0310379" w14:textId="77777777" w:rsidR="00C57BC4" w:rsidRDefault="00000000">
            <w:pPr>
              <w:jc w:val="center"/>
            </w:pPr>
            <w:r>
              <w:rPr>
                <w:b/>
                <w:bCs/>
                <w:color w:val="6B7280"/>
                <w:sz w:val="20"/>
                <w:szCs w:val="20"/>
              </w:rPr>
              <w:t>28%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35F1B0A"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29D1F8F" w14:textId="77777777" w:rsidR="00C57BC4" w:rsidRDefault="00000000">
            <w:pPr>
              <w:jc w:val="center"/>
            </w:pPr>
            <w:r>
              <w:rPr>
                <w:b/>
                <w:bCs/>
                <w:color w:val="B91C1C"/>
                <w:sz w:val="20"/>
                <w:szCs w:val="20"/>
              </w:rPr>
              <w:t>54%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0D06B04" w14:textId="77777777" w:rsidR="00C57BC4" w:rsidRDefault="00000000">
            <w:pPr>
              <w:jc w:val="center"/>
            </w:pPr>
            <w:r>
              <w:rPr>
                <w:b/>
                <w:bCs/>
                <w:color w:val="166534"/>
                <w:sz w:val="20"/>
                <w:szCs w:val="20"/>
              </w:rPr>
              <w:t>37%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36A66FE4" w14:textId="77777777" w:rsidR="00C57BC4" w:rsidRDefault="00000000">
            <w:pPr>
              <w:jc w:val="center"/>
            </w:pPr>
            <w:r>
              <w:rPr>
                <w:b/>
                <w:bCs/>
                <w:color w:val="6B7280"/>
                <w:sz w:val="20"/>
                <w:szCs w:val="20"/>
              </w:rPr>
              <w:t>17%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A1F5CD7" w14:textId="77777777" w:rsidR="00C57BC4" w:rsidRDefault="00000000">
            <w:pPr>
              <w:jc w:val="center"/>
            </w:pPr>
            <w:r>
              <w:rPr>
                <w:b/>
                <w:bCs/>
                <w:color w:val="991B1B"/>
                <w:sz w:val="20"/>
                <w:szCs w:val="20"/>
              </w:rPr>
              <w:t>46%</w:t>
            </w:r>
          </w:p>
        </w:tc>
      </w:tr>
    </w:tbl>
    <w:p w14:paraId="04B92B98" w14:textId="77777777" w:rsidR="00C57BC4" w:rsidRDefault="00C57BC4">
      <w:pPr>
        <w:spacing w:before="80" w:after="80"/>
      </w:pPr>
    </w:p>
    <w:p w14:paraId="4ECA27EE" w14:textId="77777777" w:rsidR="00C57BC4" w:rsidRDefault="00000000">
      <w:pPr>
        <w:pStyle w:val="Heading2"/>
      </w:pPr>
      <w:r>
        <w:t>Wednesday April 8 — Macro Shock, The Clearing Event</w:t>
      </w:r>
    </w:p>
    <w:p w14:paraId="3C6ABAC4" w14:textId="77777777" w:rsidR="00C57BC4" w:rsidRDefault="00000000">
      <w:pPr>
        <w:spacing w:before="80" w:after="80"/>
      </w:pPr>
      <w:r>
        <w:t xml:space="preserve">Wednesday was the most dramatic session of the week. May silver futures surged 6.94% to a session high of $77.77 in the morning hours, driven directly by a broad cross-asset repricing: the Dow gained 2.85%, the dollar fell 0.84%, and all major commodities moved together. The framework correctly activated its Macro Shock Protocol — both trigger conditions were met unambiguously. By 18:42 ET, </w:t>
      </w:r>
      <w:proofErr w:type="spellStart"/>
      <w:r>
        <w:t>Kitco</w:t>
      </w:r>
      <w:proofErr w:type="spellEnd"/>
      <w:r>
        <w:t xml:space="preserve"> showed silver at approximately $73.78, a $4 retracement from the morning peak.</w:t>
      </w:r>
    </w:p>
    <w:p w14:paraId="658BBADB" w14:textId="77777777" w:rsidR="00C57BC4" w:rsidRDefault="00C57BC4">
      <w:pPr>
        <w:spacing w:before="40" w:after="40"/>
      </w:pPr>
    </w:p>
    <w:p w14:paraId="3C8C529A" w14:textId="77777777" w:rsidR="00C57BC4" w:rsidRDefault="00000000">
      <w:pPr>
        <w:spacing w:before="80" w:after="80"/>
      </w:pPr>
      <w:r>
        <w:t xml:space="preserve">The intraday pattern was the key interpretive signal. Claude read the pullback from $77.77 as evidence the rally lacked self-sustaining conviction — a bearish read. DeepSeek challenged that interpretation, arguing the pullback looked more like a retest of broken resistance near the </w:t>
      </w:r>
      <w:proofErr w:type="gramStart"/>
      <w:r>
        <w:t>EMA(</w:t>
      </w:r>
      <w:proofErr w:type="gramEnd"/>
      <w:r>
        <w:t>20) at $74.97 — a structure that would be bullish if held the following session. ChatGPT’s synthesis described the session as a “macro-forced clearing event” that removed weak shorts and positioned the market at a binary decision point: either price would hold and begin establishing a new structure, or it would fall back below $73.78 and the prior bearish thesis would reassert.</w:t>
      </w:r>
    </w:p>
    <w:p w14:paraId="6E49BF20" w14:textId="77777777" w:rsidR="00C57BC4" w:rsidRDefault="00C57BC4">
      <w:pPr>
        <w:spacing w:before="40" w:after="40"/>
      </w:pPr>
    </w:p>
    <w:p w14:paraId="1E361F05" w14:textId="77777777" w:rsidR="00C57BC4" w:rsidRDefault="00000000">
      <w:pPr>
        <w:spacing w:before="80" w:after="80"/>
      </w:pPr>
      <w:r>
        <w:t>The most significant new structural variable was SHFE inventory, which rose 477,700 ounces in a single day and 44.92% over 30 days — a sharp reversal of the prior depletion trend that introduced genuine ambiguity into the Chinese demand urgency narrative that had been central to the structural bullish case.</w:t>
      </w:r>
    </w:p>
    <w:p w14:paraId="1D50C7FA" w14:textId="77777777" w:rsidR="00C57BC4" w:rsidRDefault="00C57BC4">
      <w:pPr>
        <w:spacing w:before="40" w:after="40"/>
      </w:pPr>
    </w:p>
    <w:p w14:paraId="3F148E66" w14:textId="77777777" w:rsidR="00C57BC4" w:rsidRDefault="00000000">
      <w:pPr>
        <w:spacing w:before="80" w:after="80"/>
      </w:pPr>
      <w:r>
        <w:t xml:space="preserve">Despite the intraday drama, all three AIs maintained the bearish directional label under the Macro Shock Protocol, which suspends hierarchy migration evaluation during active shock conditions. Probabilities shifted modestly — the consensus 5-day went from 59% bearish to </w:t>
      </w:r>
      <w:r>
        <w:lastRenderedPageBreak/>
        <w:t>44% bearish — with ChatGPT most willing to assign near-term bullish weight and DeepSeek most conservative.</w:t>
      </w:r>
    </w:p>
    <w:p w14:paraId="12A7AAF6" w14:textId="77777777" w:rsidR="00C57BC4" w:rsidRDefault="00C57BC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0"/>
        <w:gridCol w:w="848"/>
        <w:gridCol w:w="873"/>
        <w:gridCol w:w="873"/>
        <w:gridCol w:w="891"/>
        <w:gridCol w:w="916"/>
        <w:gridCol w:w="916"/>
        <w:gridCol w:w="891"/>
        <w:gridCol w:w="916"/>
        <w:gridCol w:w="916"/>
      </w:tblGrid>
      <w:tr w:rsidR="00C57BC4" w14:paraId="78394689" w14:textId="77777777">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455652EB" w14:textId="77777777" w:rsidR="00C57BC4" w:rsidRDefault="00C57BC4">
            <w:pPr>
              <w:jc w:val="center"/>
            </w:pP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1BB7DA04" w14:textId="77777777" w:rsidR="00C57BC4" w:rsidRDefault="00000000">
            <w:pPr>
              <w:jc w:val="center"/>
            </w:pPr>
            <w:r>
              <w:rPr>
                <w:b/>
                <w:bCs/>
                <w:color w:val="FFFFFF"/>
                <w:sz w:val="18"/>
                <w:szCs w:val="18"/>
              </w:rPr>
              <w:t>5-Day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77337A5B" w14:textId="77777777" w:rsidR="00C57BC4" w:rsidRDefault="00000000">
            <w:pPr>
              <w:jc w:val="center"/>
            </w:pPr>
            <w:r>
              <w:rPr>
                <w:b/>
                <w:bCs/>
                <w:color w:val="FFFFFF"/>
                <w:sz w:val="18"/>
                <w:szCs w:val="18"/>
              </w:rPr>
              <w:t>5-Day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0CE9EA06" w14:textId="77777777" w:rsidR="00C57BC4" w:rsidRDefault="00000000">
            <w:pPr>
              <w:jc w:val="center"/>
            </w:pPr>
            <w:r>
              <w:rPr>
                <w:b/>
                <w:bCs/>
                <w:color w:val="FFFFFF"/>
                <w:sz w:val="18"/>
                <w:szCs w:val="18"/>
              </w:rPr>
              <w:t>5-Day Bear</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04C3B07D" w14:textId="77777777" w:rsidR="00C57BC4" w:rsidRDefault="00000000">
            <w:pPr>
              <w:jc w:val="center"/>
            </w:pPr>
            <w:r>
              <w:rPr>
                <w:b/>
                <w:bCs/>
                <w:color w:val="FFFFFF"/>
                <w:sz w:val="18"/>
                <w:szCs w:val="18"/>
              </w:rPr>
              <w:t>10-Day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625669C0" w14:textId="77777777" w:rsidR="00C57BC4" w:rsidRDefault="00000000">
            <w:pPr>
              <w:jc w:val="center"/>
            </w:pPr>
            <w:r>
              <w:rPr>
                <w:b/>
                <w:bCs/>
                <w:color w:val="FFFFFF"/>
                <w:sz w:val="18"/>
                <w:szCs w:val="18"/>
              </w:rPr>
              <w:t>10-Day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2823C963" w14:textId="77777777" w:rsidR="00C57BC4" w:rsidRDefault="00000000">
            <w:pPr>
              <w:jc w:val="center"/>
            </w:pPr>
            <w:r>
              <w:rPr>
                <w:b/>
                <w:bCs/>
                <w:color w:val="FFFFFF"/>
                <w:sz w:val="18"/>
                <w:szCs w:val="18"/>
              </w:rPr>
              <w:t>10-Day Bear</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7FF19E3F" w14:textId="77777777" w:rsidR="00C57BC4" w:rsidRDefault="00000000">
            <w:pPr>
              <w:jc w:val="center"/>
            </w:pPr>
            <w:r>
              <w:rPr>
                <w:b/>
                <w:bCs/>
                <w:color w:val="FFFFFF"/>
                <w:sz w:val="18"/>
                <w:szCs w:val="18"/>
              </w:rPr>
              <w:t>30-Day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7350DB6F" w14:textId="77777777" w:rsidR="00C57BC4" w:rsidRDefault="00000000">
            <w:pPr>
              <w:jc w:val="center"/>
            </w:pPr>
            <w:r>
              <w:rPr>
                <w:b/>
                <w:bCs/>
                <w:color w:val="FFFFFF"/>
                <w:sz w:val="18"/>
                <w:szCs w:val="18"/>
              </w:rPr>
              <w:t>30-Day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7FFF1799" w14:textId="77777777" w:rsidR="00C57BC4" w:rsidRDefault="00000000">
            <w:pPr>
              <w:jc w:val="center"/>
            </w:pPr>
            <w:r>
              <w:rPr>
                <w:b/>
                <w:bCs/>
                <w:color w:val="FFFFFF"/>
                <w:sz w:val="18"/>
                <w:szCs w:val="18"/>
              </w:rPr>
              <w:t>30-Day Bear</w:t>
            </w:r>
          </w:p>
        </w:tc>
      </w:tr>
      <w:tr w:rsidR="00C57BC4" w14:paraId="14C01B21"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4853DCA5" w14:textId="77777777" w:rsidR="00C57BC4" w:rsidRDefault="00000000">
            <w:r>
              <w:rPr>
                <w:b/>
                <w:bCs/>
                <w:color w:val="1E3A5F"/>
                <w:sz w:val="20"/>
                <w:szCs w:val="20"/>
              </w:rPr>
              <w:t>Claude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4448EEA" w14:textId="77777777" w:rsidR="00C57BC4" w:rsidRDefault="00000000">
            <w:pPr>
              <w:jc w:val="center"/>
            </w:pPr>
            <w:r>
              <w:rPr>
                <w:b/>
                <w:bCs/>
                <w:color w:val="166534"/>
                <w:sz w:val="20"/>
                <w:szCs w:val="20"/>
              </w:rPr>
              <w:t>35%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52B9334" w14:textId="77777777" w:rsidR="00C57BC4" w:rsidRDefault="00000000">
            <w:pPr>
              <w:jc w:val="center"/>
            </w:pPr>
            <w:r>
              <w:rPr>
                <w:b/>
                <w:bCs/>
                <w:color w:val="6B7280"/>
                <w:sz w:val="20"/>
                <w:szCs w:val="20"/>
              </w:rPr>
              <w:t>22%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3BB16D1" w14:textId="77777777" w:rsidR="00C57BC4" w:rsidRDefault="00000000">
            <w:pPr>
              <w:jc w:val="center"/>
            </w:pPr>
            <w:r>
              <w:rPr>
                <w:b/>
                <w:bCs/>
                <w:color w:val="991B1B"/>
                <w:sz w:val="20"/>
                <w:szCs w:val="20"/>
              </w:rPr>
              <w:t>43%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B674377" w14:textId="77777777" w:rsidR="00C57BC4" w:rsidRDefault="00000000">
            <w:pPr>
              <w:jc w:val="center"/>
            </w:pPr>
            <w:r>
              <w:rPr>
                <w:b/>
                <w:bCs/>
                <w:color w:val="166534"/>
                <w:sz w:val="20"/>
                <w:szCs w:val="20"/>
              </w:rPr>
              <w:t>38%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3940984" w14:textId="77777777" w:rsidR="00C57BC4" w:rsidRDefault="00000000">
            <w:pPr>
              <w:jc w:val="center"/>
            </w:pPr>
            <w:r>
              <w:rPr>
                <w:b/>
                <w:bCs/>
                <w:color w:val="6B7280"/>
                <w:sz w:val="20"/>
                <w:szCs w:val="20"/>
              </w:rPr>
              <w:t>20%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13DEC42" w14:textId="77777777" w:rsidR="00C57BC4" w:rsidRDefault="00000000">
            <w:pPr>
              <w:jc w:val="center"/>
            </w:pPr>
            <w:r>
              <w:rPr>
                <w:b/>
                <w:bCs/>
                <w:color w:val="991B1B"/>
                <w:sz w:val="20"/>
                <w:szCs w:val="20"/>
              </w:rPr>
              <w:t>42%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F9DA1F9" w14:textId="77777777" w:rsidR="00C57BC4" w:rsidRDefault="00000000">
            <w:pPr>
              <w:jc w:val="center"/>
            </w:pPr>
            <w:r>
              <w:rPr>
                <w:b/>
                <w:bCs/>
                <w:color w:val="15803D"/>
                <w:sz w:val="20"/>
                <w:szCs w:val="20"/>
              </w:rPr>
              <w:t>45%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D5BD35B"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6C81451" w14:textId="77777777" w:rsidR="00C57BC4" w:rsidRDefault="00000000">
            <w:pPr>
              <w:jc w:val="center"/>
            </w:pPr>
            <w:r>
              <w:rPr>
                <w:b/>
                <w:bCs/>
                <w:color w:val="6B7280"/>
                <w:sz w:val="20"/>
                <w:szCs w:val="20"/>
              </w:rPr>
              <w:t>37%</w:t>
            </w:r>
          </w:p>
        </w:tc>
      </w:tr>
      <w:tr w:rsidR="00C57BC4" w14:paraId="14C61FB1"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28DD8134" w14:textId="77777777" w:rsidR="00C57BC4" w:rsidRDefault="00000000">
            <w:r>
              <w:rPr>
                <w:b/>
                <w:bCs/>
                <w:color w:val="1E3A5F"/>
                <w:sz w:val="20"/>
                <w:szCs w:val="20"/>
              </w:rPr>
              <w:t>ChatGPT</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4B274EA" w14:textId="77777777" w:rsidR="00C57BC4" w:rsidRDefault="00000000">
            <w:pPr>
              <w:jc w:val="center"/>
            </w:pPr>
            <w:r>
              <w:rPr>
                <w:b/>
                <w:bCs/>
                <w:color w:val="166534"/>
                <w:sz w:val="20"/>
                <w:szCs w:val="20"/>
              </w:rPr>
              <w:t>40%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D3C2AB8" w14:textId="77777777" w:rsidR="00C57BC4" w:rsidRDefault="00000000">
            <w:pPr>
              <w:jc w:val="center"/>
            </w:pPr>
            <w:r>
              <w:rPr>
                <w:b/>
                <w:bCs/>
                <w:color w:val="6B7280"/>
                <w:sz w:val="20"/>
                <w:szCs w:val="20"/>
              </w:rPr>
              <w:t>20%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83FBC64" w14:textId="77777777" w:rsidR="00C57BC4" w:rsidRDefault="00000000">
            <w:pPr>
              <w:jc w:val="center"/>
            </w:pPr>
            <w:r>
              <w:rPr>
                <w:b/>
                <w:bCs/>
                <w:color w:val="991B1B"/>
                <w:sz w:val="20"/>
                <w:szCs w:val="20"/>
              </w:rPr>
              <w:t>40%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02B4994" w14:textId="77777777" w:rsidR="00C57BC4" w:rsidRDefault="00000000">
            <w:pPr>
              <w:jc w:val="center"/>
            </w:pPr>
            <w:r>
              <w:rPr>
                <w:b/>
                <w:bCs/>
                <w:color w:val="15803D"/>
                <w:sz w:val="20"/>
                <w:szCs w:val="20"/>
              </w:rPr>
              <w:t>45%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7B29944"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9AEB220" w14:textId="77777777" w:rsidR="00C57BC4" w:rsidRDefault="00000000">
            <w:pPr>
              <w:jc w:val="center"/>
            </w:pPr>
            <w:r>
              <w:rPr>
                <w:b/>
                <w:bCs/>
                <w:color w:val="6B7280"/>
                <w:sz w:val="20"/>
                <w:szCs w:val="20"/>
              </w:rPr>
              <w:t>37%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DF44919" w14:textId="77777777" w:rsidR="00C57BC4" w:rsidRDefault="00000000">
            <w:pPr>
              <w:jc w:val="center"/>
            </w:pPr>
            <w:r>
              <w:rPr>
                <w:b/>
                <w:bCs/>
                <w:color w:val="15803D"/>
                <w:sz w:val="20"/>
                <w:szCs w:val="20"/>
              </w:rPr>
              <w:t>55%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FA504E6" w14:textId="77777777" w:rsidR="00C57BC4" w:rsidRDefault="00000000">
            <w:pPr>
              <w:jc w:val="center"/>
            </w:pPr>
            <w:r>
              <w:rPr>
                <w:b/>
                <w:bCs/>
                <w:color w:val="6B7280"/>
                <w:sz w:val="20"/>
                <w:szCs w:val="20"/>
              </w:rPr>
              <w:t>15%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8B9A39A" w14:textId="77777777" w:rsidR="00C57BC4" w:rsidRDefault="00000000">
            <w:pPr>
              <w:jc w:val="center"/>
            </w:pPr>
            <w:r>
              <w:rPr>
                <w:b/>
                <w:bCs/>
                <w:color w:val="6B7280"/>
                <w:sz w:val="20"/>
                <w:szCs w:val="20"/>
              </w:rPr>
              <w:t>30%</w:t>
            </w:r>
          </w:p>
        </w:tc>
      </w:tr>
      <w:tr w:rsidR="00C57BC4" w14:paraId="6B56553E"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0FBA8D7D" w14:textId="77777777" w:rsidR="00C57BC4" w:rsidRDefault="00000000">
            <w:r>
              <w:rPr>
                <w:b/>
                <w:bCs/>
                <w:color w:val="1E3A5F"/>
                <w:sz w:val="20"/>
                <w:szCs w:val="20"/>
              </w:rPr>
              <w:t>DeepSeek</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2D2B321" w14:textId="77777777" w:rsidR="00C57BC4" w:rsidRDefault="00000000">
            <w:pPr>
              <w:jc w:val="center"/>
            </w:pPr>
            <w:r>
              <w:rPr>
                <w:b/>
                <w:bCs/>
                <w:color w:val="6B7280"/>
                <w:sz w:val="20"/>
                <w:szCs w:val="20"/>
              </w:rPr>
              <w:t>30%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82EADBC" w14:textId="77777777" w:rsidR="00C57BC4" w:rsidRDefault="00000000">
            <w:pPr>
              <w:jc w:val="center"/>
            </w:pPr>
            <w:r>
              <w:rPr>
                <w:b/>
                <w:bCs/>
                <w:color w:val="6B7280"/>
                <w:sz w:val="20"/>
                <w:szCs w:val="20"/>
              </w:rPr>
              <w:t>20%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1CC00B4" w14:textId="77777777" w:rsidR="00C57BC4" w:rsidRDefault="00000000">
            <w:pPr>
              <w:jc w:val="center"/>
            </w:pPr>
            <w:r>
              <w:rPr>
                <w:b/>
                <w:bCs/>
                <w:color w:val="B91C1C"/>
                <w:sz w:val="20"/>
                <w:szCs w:val="20"/>
              </w:rPr>
              <w:t>50%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A43F073" w14:textId="77777777" w:rsidR="00C57BC4" w:rsidRDefault="00000000">
            <w:pPr>
              <w:jc w:val="center"/>
            </w:pPr>
            <w:r>
              <w:rPr>
                <w:b/>
                <w:bCs/>
                <w:color w:val="166534"/>
                <w:sz w:val="20"/>
                <w:szCs w:val="20"/>
              </w:rPr>
              <w:t>35%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B6C5DAB"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752468F" w14:textId="77777777" w:rsidR="00C57BC4" w:rsidRDefault="00000000">
            <w:pPr>
              <w:jc w:val="center"/>
            </w:pPr>
            <w:r>
              <w:rPr>
                <w:b/>
                <w:bCs/>
                <w:color w:val="991B1B"/>
                <w:sz w:val="20"/>
                <w:szCs w:val="20"/>
              </w:rPr>
              <w:t>47%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A69A2D5" w14:textId="77777777" w:rsidR="00C57BC4" w:rsidRDefault="00000000">
            <w:pPr>
              <w:jc w:val="center"/>
            </w:pPr>
            <w:r>
              <w:rPr>
                <w:b/>
                <w:bCs/>
                <w:color w:val="15803D"/>
                <w:sz w:val="20"/>
                <w:szCs w:val="20"/>
              </w:rPr>
              <w:t>48%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19898C6" w14:textId="77777777" w:rsidR="00C57BC4" w:rsidRDefault="00000000">
            <w:pPr>
              <w:jc w:val="center"/>
            </w:pPr>
            <w:r>
              <w:rPr>
                <w:b/>
                <w:bCs/>
                <w:color w:val="6B7280"/>
                <w:sz w:val="20"/>
                <w:szCs w:val="20"/>
              </w:rPr>
              <w:t>15%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629C423" w14:textId="77777777" w:rsidR="00C57BC4" w:rsidRDefault="00000000">
            <w:pPr>
              <w:jc w:val="center"/>
            </w:pPr>
            <w:r>
              <w:rPr>
                <w:b/>
                <w:bCs/>
                <w:color w:val="6B7280"/>
                <w:sz w:val="20"/>
                <w:szCs w:val="20"/>
              </w:rPr>
              <w:t>37%</w:t>
            </w:r>
          </w:p>
        </w:tc>
      </w:tr>
      <w:tr w:rsidR="00C57BC4" w14:paraId="614757B6"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6A112641" w14:textId="77777777" w:rsidR="00C57BC4" w:rsidRDefault="00000000">
            <w:r>
              <w:rPr>
                <w:b/>
                <w:bCs/>
                <w:color w:val="1E3A5F"/>
                <w:sz w:val="20"/>
                <w:szCs w:val="20"/>
              </w:rPr>
              <w:t>Consensus</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EF579D6" w14:textId="77777777" w:rsidR="00C57BC4" w:rsidRDefault="00000000">
            <w:pPr>
              <w:jc w:val="center"/>
            </w:pPr>
            <w:r>
              <w:rPr>
                <w:b/>
                <w:bCs/>
                <w:color w:val="166534"/>
                <w:sz w:val="20"/>
                <w:szCs w:val="20"/>
              </w:rPr>
              <w:t>35%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A4FC1A3" w14:textId="77777777" w:rsidR="00C57BC4" w:rsidRDefault="00000000">
            <w:pPr>
              <w:jc w:val="center"/>
            </w:pPr>
            <w:r>
              <w:rPr>
                <w:b/>
                <w:bCs/>
                <w:color w:val="6B7280"/>
                <w:sz w:val="20"/>
                <w:szCs w:val="20"/>
              </w:rPr>
              <w:t>21%</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0C45B37" w14:textId="77777777" w:rsidR="00C57BC4" w:rsidRDefault="00000000">
            <w:pPr>
              <w:jc w:val="center"/>
            </w:pPr>
            <w:r>
              <w:rPr>
                <w:b/>
                <w:bCs/>
                <w:color w:val="991B1B"/>
                <w:sz w:val="20"/>
                <w:szCs w:val="20"/>
              </w:rPr>
              <w:t>44%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7EC0E06" w14:textId="77777777" w:rsidR="00C57BC4" w:rsidRDefault="00000000">
            <w:pPr>
              <w:jc w:val="center"/>
            </w:pPr>
            <w:r>
              <w:rPr>
                <w:b/>
                <w:bCs/>
                <w:color w:val="166534"/>
                <w:sz w:val="20"/>
                <w:szCs w:val="20"/>
              </w:rPr>
              <w:t>39%</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5E2A2C6" w14:textId="77777777" w:rsidR="00C57BC4" w:rsidRDefault="00000000">
            <w:pPr>
              <w:jc w:val="center"/>
            </w:pPr>
            <w:r>
              <w:rPr>
                <w:b/>
                <w:bCs/>
                <w:color w:val="6B7280"/>
                <w:sz w:val="20"/>
                <w:szCs w:val="20"/>
              </w:rPr>
              <w:t>19%</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28B3372" w14:textId="77777777" w:rsidR="00C57BC4" w:rsidRDefault="00000000">
            <w:pPr>
              <w:jc w:val="center"/>
            </w:pPr>
            <w:r>
              <w:rPr>
                <w:b/>
                <w:bCs/>
                <w:color w:val="991B1B"/>
                <w:sz w:val="20"/>
                <w:szCs w:val="20"/>
              </w:rPr>
              <w:t>42%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14196BD" w14:textId="77777777" w:rsidR="00C57BC4" w:rsidRDefault="00000000">
            <w:pPr>
              <w:jc w:val="center"/>
            </w:pPr>
            <w:r>
              <w:rPr>
                <w:b/>
                <w:bCs/>
                <w:color w:val="15803D"/>
                <w:sz w:val="20"/>
                <w:szCs w:val="20"/>
              </w:rPr>
              <w:t>49%</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C408543" w14:textId="77777777" w:rsidR="00C57BC4" w:rsidRDefault="00000000">
            <w:pPr>
              <w:jc w:val="center"/>
            </w:pPr>
            <w:r>
              <w:rPr>
                <w:b/>
                <w:bCs/>
                <w:color w:val="6B7280"/>
                <w:sz w:val="20"/>
                <w:szCs w:val="20"/>
              </w:rPr>
              <w:t>16%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2452272" w14:textId="77777777" w:rsidR="00C57BC4" w:rsidRDefault="00000000">
            <w:pPr>
              <w:jc w:val="center"/>
            </w:pPr>
            <w:r>
              <w:rPr>
                <w:b/>
                <w:bCs/>
                <w:color w:val="6B7280"/>
                <w:sz w:val="20"/>
                <w:szCs w:val="20"/>
              </w:rPr>
              <w:t>35%</w:t>
            </w:r>
          </w:p>
        </w:tc>
      </w:tr>
    </w:tbl>
    <w:p w14:paraId="08FCDB54" w14:textId="77777777" w:rsidR="00C57BC4" w:rsidRDefault="00C57BC4">
      <w:pPr>
        <w:spacing w:before="80" w:after="80"/>
      </w:pPr>
    </w:p>
    <w:p w14:paraId="6776E2CE" w14:textId="77777777" w:rsidR="00C57BC4" w:rsidRDefault="00000000">
      <w:pPr>
        <w:pStyle w:val="Heading2"/>
      </w:pPr>
      <w:r>
        <w:t>Thursday April 9 — Sustainability, Not Just Volatility</w:t>
      </w:r>
    </w:p>
    <w:p w14:paraId="56E7E901" w14:textId="77777777" w:rsidR="00C57BC4" w:rsidRDefault="00000000">
      <w:pPr>
        <w:spacing w:before="80" w:after="80"/>
      </w:pPr>
      <w:r>
        <w:t xml:space="preserve">If Wednesday was the shock, Thursday was the answer. Silver closed at $75.67, up 2.09% </w:t>
      </w:r>
      <w:proofErr w:type="gramStart"/>
      <w:r>
        <w:t>on</w:t>
      </w:r>
      <w:proofErr w:type="gramEnd"/>
      <w:r>
        <w:t xml:space="preserve"> the session, in a materially steadier fashion than the spike-and-retrace of the prior day. The macro backdrop remained supportive but was well below shock-level: the Dow gained $275 (+0.58%) and the dollar softened 0.31%. Silver outperformed both. The </w:t>
      </w:r>
      <w:proofErr w:type="gramStart"/>
      <w:r>
        <w:t>EMA(</w:t>
      </w:r>
      <w:proofErr w:type="gramEnd"/>
      <w:r>
        <w:t>20) at approximately $74.97 was breached on a closing basis for the first time in the current bearish structure.</w:t>
      </w:r>
    </w:p>
    <w:p w14:paraId="19E2A1FC" w14:textId="77777777" w:rsidR="00C57BC4" w:rsidRDefault="00C57BC4">
      <w:pPr>
        <w:spacing w:before="40" w:after="40"/>
      </w:pPr>
    </w:p>
    <w:p w14:paraId="266CF320" w14:textId="77777777" w:rsidR="00C57BC4" w:rsidRDefault="00000000">
      <w:pPr>
        <w:spacing w:before="80" w:after="80"/>
      </w:pPr>
      <w:r>
        <w:t xml:space="preserve">The gold–silver ratio compressed to 63.05 on </w:t>
      </w:r>
      <w:proofErr w:type="spellStart"/>
      <w:r>
        <w:t>StockCharts</w:t>
      </w:r>
      <w:proofErr w:type="spellEnd"/>
      <w:r>
        <w:t xml:space="preserve"> — within five hundredths of the Disproof Condition 2 threshold. A single additional session of silver outperformance would cross that line. Miners told their own story: HUI gained only 0.29%, SILJ barely moved at 0.10%, both substantially underperforming silver’s 2.09% move. This was the first session in the current run where silver led miners by this margin — the pattern that would normally initiate a Day 1 evaluation for the Speculative Capital layer, had the Macro Shock Protocol not been active.</w:t>
      </w:r>
    </w:p>
    <w:p w14:paraId="3CB7DD67" w14:textId="77777777" w:rsidR="00C57BC4" w:rsidRDefault="00C57BC4">
      <w:pPr>
        <w:spacing w:before="40" w:after="40"/>
      </w:pPr>
    </w:p>
    <w:p w14:paraId="74B59CE5" w14:textId="77777777" w:rsidR="00C57BC4" w:rsidRDefault="00000000">
      <w:pPr>
        <w:spacing w:before="80" w:after="80"/>
      </w:pPr>
      <w:r>
        <w:t>Open interest expanded by 6,555 contracts, the largest single-day increase in the run series, with July gaining 5,888 contracts alone. All three AIs noted this as evidence of extended-horizon commitment, not short-term speculation. The framework correctly maintained the Macro Shock classification at Day 2, preventing premature migration, while the directional interpretation shifted to Provisional Bullish for the first time.</w:t>
      </w:r>
    </w:p>
    <w:p w14:paraId="7650ED48" w14:textId="77777777" w:rsidR="00C57BC4" w:rsidRDefault="00C57BC4">
      <w:pPr>
        <w:spacing w:before="40" w:after="40"/>
      </w:pPr>
    </w:p>
    <w:p w14:paraId="19ABD92C" w14:textId="77777777" w:rsidR="00C57BC4" w:rsidRDefault="00000000">
      <w:pPr>
        <w:spacing w:before="80" w:after="80"/>
      </w:pPr>
      <w:r>
        <w:t>DeepSeek was most vocal about the gap between what the data was signaling and what the formal classification allowed: “The market is behaving like something is changing, not merely continuing.” Claude acknowledged the improved character while defending the protocol. ChatGPT synthesized both views as a timing difference rather than a substantive disagreement.</w:t>
      </w:r>
    </w:p>
    <w:p w14:paraId="70B723C1" w14:textId="77777777" w:rsidR="00C57BC4" w:rsidRDefault="00C57BC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0"/>
        <w:gridCol w:w="848"/>
        <w:gridCol w:w="873"/>
        <w:gridCol w:w="873"/>
        <w:gridCol w:w="891"/>
        <w:gridCol w:w="916"/>
        <w:gridCol w:w="916"/>
        <w:gridCol w:w="891"/>
        <w:gridCol w:w="916"/>
        <w:gridCol w:w="916"/>
      </w:tblGrid>
      <w:tr w:rsidR="00C57BC4" w14:paraId="5D0EFFBC" w14:textId="77777777">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3CE39AD9" w14:textId="77777777" w:rsidR="00C57BC4" w:rsidRDefault="00C57BC4">
            <w:pPr>
              <w:jc w:val="center"/>
            </w:pP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02B85ADE" w14:textId="77777777" w:rsidR="00C57BC4" w:rsidRDefault="00000000">
            <w:pPr>
              <w:jc w:val="center"/>
            </w:pPr>
            <w:r>
              <w:rPr>
                <w:b/>
                <w:bCs/>
                <w:color w:val="FFFFFF"/>
                <w:sz w:val="18"/>
                <w:szCs w:val="18"/>
              </w:rPr>
              <w:t>5-Day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75829691" w14:textId="77777777" w:rsidR="00C57BC4" w:rsidRDefault="00000000">
            <w:pPr>
              <w:jc w:val="center"/>
            </w:pPr>
            <w:r>
              <w:rPr>
                <w:b/>
                <w:bCs/>
                <w:color w:val="FFFFFF"/>
                <w:sz w:val="18"/>
                <w:szCs w:val="18"/>
              </w:rPr>
              <w:t>5-Day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2DD7210E" w14:textId="77777777" w:rsidR="00C57BC4" w:rsidRDefault="00000000">
            <w:pPr>
              <w:jc w:val="center"/>
            </w:pPr>
            <w:r>
              <w:rPr>
                <w:b/>
                <w:bCs/>
                <w:color w:val="FFFFFF"/>
                <w:sz w:val="18"/>
                <w:szCs w:val="18"/>
              </w:rPr>
              <w:t>5-Day Bear</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311BE18A" w14:textId="77777777" w:rsidR="00C57BC4" w:rsidRDefault="00000000">
            <w:pPr>
              <w:jc w:val="center"/>
            </w:pPr>
            <w:r>
              <w:rPr>
                <w:b/>
                <w:bCs/>
                <w:color w:val="FFFFFF"/>
                <w:sz w:val="18"/>
                <w:szCs w:val="18"/>
              </w:rPr>
              <w:t>10-Day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15A8419A" w14:textId="77777777" w:rsidR="00C57BC4" w:rsidRDefault="00000000">
            <w:pPr>
              <w:jc w:val="center"/>
            </w:pPr>
            <w:r>
              <w:rPr>
                <w:b/>
                <w:bCs/>
                <w:color w:val="FFFFFF"/>
                <w:sz w:val="18"/>
                <w:szCs w:val="18"/>
              </w:rPr>
              <w:t>10-Day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72E97BF2" w14:textId="77777777" w:rsidR="00C57BC4" w:rsidRDefault="00000000">
            <w:pPr>
              <w:jc w:val="center"/>
            </w:pPr>
            <w:r>
              <w:rPr>
                <w:b/>
                <w:bCs/>
                <w:color w:val="FFFFFF"/>
                <w:sz w:val="18"/>
                <w:szCs w:val="18"/>
              </w:rPr>
              <w:t>10-Day Bear</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0244EC4D" w14:textId="77777777" w:rsidR="00C57BC4" w:rsidRDefault="00000000">
            <w:pPr>
              <w:jc w:val="center"/>
            </w:pPr>
            <w:r>
              <w:rPr>
                <w:b/>
                <w:bCs/>
                <w:color w:val="FFFFFF"/>
                <w:sz w:val="18"/>
                <w:szCs w:val="18"/>
              </w:rPr>
              <w:t>30-Day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292A0357" w14:textId="77777777" w:rsidR="00C57BC4" w:rsidRDefault="00000000">
            <w:pPr>
              <w:jc w:val="center"/>
            </w:pPr>
            <w:r>
              <w:rPr>
                <w:b/>
                <w:bCs/>
                <w:color w:val="FFFFFF"/>
                <w:sz w:val="18"/>
                <w:szCs w:val="18"/>
              </w:rPr>
              <w:t>30-Day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4BCEF161" w14:textId="77777777" w:rsidR="00C57BC4" w:rsidRDefault="00000000">
            <w:pPr>
              <w:jc w:val="center"/>
            </w:pPr>
            <w:r>
              <w:rPr>
                <w:b/>
                <w:bCs/>
                <w:color w:val="FFFFFF"/>
                <w:sz w:val="18"/>
                <w:szCs w:val="18"/>
              </w:rPr>
              <w:t>30-Day Bear</w:t>
            </w:r>
          </w:p>
        </w:tc>
      </w:tr>
      <w:tr w:rsidR="00C57BC4" w14:paraId="27E7B2E1"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2375C5E9" w14:textId="77777777" w:rsidR="00C57BC4" w:rsidRDefault="00000000">
            <w:r>
              <w:rPr>
                <w:b/>
                <w:bCs/>
                <w:color w:val="1E3A5F"/>
                <w:sz w:val="20"/>
                <w:szCs w:val="20"/>
              </w:rPr>
              <w:t>Claude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83643B9" w14:textId="77777777" w:rsidR="00C57BC4" w:rsidRDefault="00000000">
            <w:pPr>
              <w:jc w:val="center"/>
            </w:pPr>
            <w:r>
              <w:rPr>
                <w:b/>
                <w:bCs/>
                <w:color w:val="166534"/>
                <w:sz w:val="20"/>
                <w:szCs w:val="20"/>
              </w:rPr>
              <w:t>40%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4D1065E" w14:textId="77777777" w:rsidR="00C57BC4" w:rsidRDefault="00000000">
            <w:pPr>
              <w:jc w:val="center"/>
            </w:pPr>
            <w:r>
              <w:rPr>
                <w:b/>
                <w:bCs/>
                <w:color w:val="6B7280"/>
                <w:sz w:val="20"/>
                <w:szCs w:val="20"/>
              </w:rPr>
              <w:t>20%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1EE2F38" w14:textId="77777777" w:rsidR="00C57BC4" w:rsidRDefault="00000000">
            <w:pPr>
              <w:jc w:val="center"/>
            </w:pPr>
            <w:r>
              <w:rPr>
                <w:b/>
                <w:bCs/>
                <w:color w:val="991B1B"/>
                <w:sz w:val="20"/>
                <w:szCs w:val="20"/>
              </w:rPr>
              <w:t>40%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99666D6" w14:textId="77777777" w:rsidR="00C57BC4" w:rsidRDefault="00000000">
            <w:pPr>
              <w:jc w:val="center"/>
            </w:pPr>
            <w:r>
              <w:rPr>
                <w:b/>
                <w:bCs/>
                <w:color w:val="166534"/>
                <w:sz w:val="20"/>
                <w:szCs w:val="20"/>
              </w:rPr>
              <w:t>44%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9F4045E" w14:textId="77777777" w:rsidR="00C57BC4" w:rsidRDefault="00000000">
            <w:pPr>
              <w:jc w:val="center"/>
            </w:pPr>
            <w:r>
              <w:rPr>
                <w:b/>
                <w:bCs/>
                <w:color w:val="6B7280"/>
                <w:sz w:val="20"/>
                <w:szCs w:val="20"/>
              </w:rPr>
              <w:t>19%</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158882E" w14:textId="77777777" w:rsidR="00C57BC4" w:rsidRDefault="00000000">
            <w:pPr>
              <w:jc w:val="center"/>
            </w:pPr>
            <w:r>
              <w:rPr>
                <w:b/>
                <w:bCs/>
                <w:color w:val="6B7280"/>
                <w:sz w:val="20"/>
                <w:szCs w:val="20"/>
              </w:rPr>
              <w:t>37%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C6D1444" w14:textId="77777777" w:rsidR="00C57BC4" w:rsidRDefault="00000000">
            <w:pPr>
              <w:jc w:val="center"/>
            </w:pPr>
            <w:r>
              <w:rPr>
                <w:b/>
                <w:bCs/>
                <w:color w:val="15803D"/>
                <w:sz w:val="20"/>
                <w:szCs w:val="20"/>
              </w:rPr>
              <w:t>50%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FAF6073" w14:textId="77777777" w:rsidR="00C57BC4" w:rsidRDefault="00000000">
            <w:pPr>
              <w:jc w:val="center"/>
            </w:pPr>
            <w:r>
              <w:rPr>
                <w:b/>
                <w:bCs/>
                <w:color w:val="6B7280"/>
                <w:sz w:val="20"/>
                <w:szCs w:val="20"/>
              </w:rPr>
              <w:t>17%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613FD42" w14:textId="77777777" w:rsidR="00C57BC4" w:rsidRDefault="00000000">
            <w:pPr>
              <w:jc w:val="center"/>
            </w:pPr>
            <w:r>
              <w:rPr>
                <w:b/>
                <w:bCs/>
                <w:color w:val="6B7280"/>
                <w:sz w:val="20"/>
                <w:szCs w:val="20"/>
              </w:rPr>
              <w:t>33%</w:t>
            </w:r>
          </w:p>
        </w:tc>
      </w:tr>
      <w:tr w:rsidR="00C57BC4" w14:paraId="1B76F5DB"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7EC63CC6" w14:textId="77777777" w:rsidR="00C57BC4" w:rsidRDefault="00000000">
            <w:r>
              <w:rPr>
                <w:b/>
                <w:bCs/>
                <w:color w:val="1E3A5F"/>
                <w:sz w:val="20"/>
                <w:szCs w:val="20"/>
              </w:rPr>
              <w:t>ChatGPT</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6166C5F" w14:textId="77777777" w:rsidR="00C57BC4" w:rsidRDefault="00000000">
            <w:pPr>
              <w:jc w:val="center"/>
            </w:pPr>
            <w:r>
              <w:rPr>
                <w:b/>
                <w:bCs/>
                <w:color w:val="15803D"/>
                <w:sz w:val="20"/>
                <w:szCs w:val="20"/>
              </w:rPr>
              <w:t>45%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5483679"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E5EC879" w14:textId="77777777" w:rsidR="00C57BC4" w:rsidRDefault="00000000">
            <w:pPr>
              <w:jc w:val="center"/>
            </w:pPr>
            <w:r>
              <w:rPr>
                <w:b/>
                <w:bCs/>
                <w:color w:val="6B7280"/>
                <w:sz w:val="20"/>
                <w:szCs w:val="20"/>
              </w:rPr>
              <w:t>37%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53DC85C" w14:textId="77777777" w:rsidR="00C57BC4" w:rsidRDefault="00000000">
            <w:pPr>
              <w:jc w:val="center"/>
            </w:pPr>
            <w:r>
              <w:rPr>
                <w:b/>
                <w:bCs/>
                <w:color w:val="15803D"/>
                <w:sz w:val="20"/>
                <w:szCs w:val="20"/>
              </w:rPr>
              <w:t>50%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E3C5BBE" w14:textId="77777777" w:rsidR="00C57BC4" w:rsidRDefault="00000000">
            <w:pPr>
              <w:jc w:val="center"/>
            </w:pPr>
            <w:r>
              <w:rPr>
                <w:b/>
                <w:bCs/>
                <w:color w:val="6B7280"/>
                <w:sz w:val="20"/>
                <w:szCs w:val="20"/>
              </w:rPr>
              <w:t>17%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C987E90" w14:textId="77777777" w:rsidR="00C57BC4" w:rsidRDefault="00000000">
            <w:pPr>
              <w:jc w:val="center"/>
            </w:pPr>
            <w:r>
              <w:rPr>
                <w:b/>
                <w:bCs/>
                <w:color w:val="6B7280"/>
                <w:sz w:val="20"/>
                <w:szCs w:val="20"/>
              </w:rPr>
              <w:t>33%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13C1B94" w14:textId="77777777" w:rsidR="00C57BC4" w:rsidRDefault="00000000">
            <w:pPr>
              <w:jc w:val="center"/>
            </w:pPr>
            <w:r>
              <w:rPr>
                <w:b/>
                <w:bCs/>
                <w:color w:val="15803D"/>
                <w:sz w:val="20"/>
                <w:szCs w:val="20"/>
              </w:rPr>
              <w:t>58%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9FAB843" w14:textId="77777777" w:rsidR="00C57BC4" w:rsidRDefault="00000000">
            <w:pPr>
              <w:jc w:val="center"/>
            </w:pPr>
            <w:r>
              <w:rPr>
                <w:b/>
                <w:bCs/>
                <w:color w:val="6B7280"/>
                <w:sz w:val="20"/>
                <w:szCs w:val="20"/>
              </w:rPr>
              <w:t>14%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27B9E5C" w14:textId="77777777" w:rsidR="00C57BC4" w:rsidRDefault="00000000">
            <w:pPr>
              <w:jc w:val="center"/>
            </w:pPr>
            <w:r>
              <w:rPr>
                <w:b/>
                <w:bCs/>
                <w:color w:val="6B7280"/>
                <w:sz w:val="20"/>
                <w:szCs w:val="20"/>
              </w:rPr>
              <w:t>28%</w:t>
            </w:r>
          </w:p>
        </w:tc>
      </w:tr>
      <w:tr w:rsidR="00C57BC4" w14:paraId="56469AC9"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3DC2A282" w14:textId="77777777" w:rsidR="00C57BC4" w:rsidRDefault="00000000">
            <w:r>
              <w:rPr>
                <w:b/>
                <w:bCs/>
                <w:color w:val="1E3A5F"/>
                <w:sz w:val="20"/>
                <w:szCs w:val="20"/>
              </w:rPr>
              <w:t>DeepSeek</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EE127CC" w14:textId="77777777" w:rsidR="00C57BC4" w:rsidRDefault="00000000">
            <w:pPr>
              <w:jc w:val="center"/>
            </w:pPr>
            <w:r>
              <w:rPr>
                <w:b/>
                <w:bCs/>
                <w:color w:val="166534"/>
                <w:sz w:val="20"/>
                <w:szCs w:val="20"/>
              </w:rPr>
              <w:t>35%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EC09D64" w14:textId="77777777" w:rsidR="00C57BC4" w:rsidRDefault="00000000">
            <w:pPr>
              <w:jc w:val="center"/>
            </w:pPr>
            <w:r>
              <w:rPr>
                <w:b/>
                <w:bCs/>
                <w:color w:val="6B7280"/>
                <w:sz w:val="20"/>
                <w:szCs w:val="20"/>
              </w:rPr>
              <w:t>20%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E62EEE7" w14:textId="77777777" w:rsidR="00C57BC4" w:rsidRDefault="00000000">
            <w:pPr>
              <w:jc w:val="center"/>
            </w:pPr>
            <w:r>
              <w:rPr>
                <w:b/>
                <w:bCs/>
                <w:color w:val="991B1B"/>
                <w:sz w:val="20"/>
                <w:szCs w:val="20"/>
              </w:rPr>
              <w:t>45%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473EB22" w14:textId="77777777" w:rsidR="00C57BC4" w:rsidRDefault="00000000">
            <w:pPr>
              <w:jc w:val="center"/>
            </w:pPr>
            <w:r>
              <w:rPr>
                <w:b/>
                <w:bCs/>
                <w:color w:val="166534"/>
                <w:sz w:val="20"/>
                <w:szCs w:val="20"/>
              </w:rPr>
              <w:t>40%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E1061AD"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57FFA05" w14:textId="77777777" w:rsidR="00C57BC4" w:rsidRDefault="00000000">
            <w:pPr>
              <w:jc w:val="center"/>
            </w:pPr>
            <w:r>
              <w:rPr>
                <w:b/>
                <w:bCs/>
                <w:color w:val="991B1B"/>
                <w:sz w:val="20"/>
                <w:szCs w:val="20"/>
              </w:rPr>
              <w:t>42%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9A7794B" w14:textId="77777777" w:rsidR="00C57BC4" w:rsidRDefault="00000000">
            <w:pPr>
              <w:jc w:val="center"/>
            </w:pPr>
            <w:r>
              <w:rPr>
                <w:b/>
                <w:bCs/>
                <w:color w:val="15803D"/>
                <w:sz w:val="20"/>
                <w:szCs w:val="20"/>
              </w:rPr>
              <w:t>50%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8E5062B" w14:textId="77777777" w:rsidR="00C57BC4" w:rsidRDefault="00000000">
            <w:pPr>
              <w:jc w:val="center"/>
            </w:pPr>
            <w:r>
              <w:rPr>
                <w:b/>
                <w:bCs/>
                <w:color w:val="6B7280"/>
                <w:sz w:val="20"/>
                <w:szCs w:val="20"/>
              </w:rPr>
              <w:t>16%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52A63E1" w14:textId="77777777" w:rsidR="00C57BC4" w:rsidRDefault="00000000">
            <w:pPr>
              <w:jc w:val="center"/>
            </w:pPr>
            <w:r>
              <w:rPr>
                <w:b/>
                <w:bCs/>
                <w:color w:val="6B7280"/>
                <w:sz w:val="20"/>
                <w:szCs w:val="20"/>
              </w:rPr>
              <w:t>34%</w:t>
            </w:r>
          </w:p>
        </w:tc>
      </w:tr>
      <w:tr w:rsidR="00C57BC4" w14:paraId="172BE9CA"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6DACE802" w14:textId="77777777" w:rsidR="00C57BC4" w:rsidRDefault="00000000">
            <w:r>
              <w:rPr>
                <w:b/>
                <w:bCs/>
                <w:color w:val="1E3A5F"/>
                <w:sz w:val="20"/>
                <w:szCs w:val="20"/>
              </w:rPr>
              <w:lastRenderedPageBreak/>
              <w:t>Consensus</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D4D9083" w14:textId="77777777" w:rsidR="00C57BC4" w:rsidRDefault="00000000">
            <w:pPr>
              <w:jc w:val="center"/>
            </w:pPr>
            <w:r>
              <w:rPr>
                <w:b/>
                <w:bCs/>
                <w:color w:val="166534"/>
                <w:sz w:val="20"/>
                <w:szCs w:val="20"/>
              </w:rPr>
              <w:t>40%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3ADA7C3" w14:textId="77777777" w:rsidR="00C57BC4" w:rsidRDefault="00000000">
            <w:pPr>
              <w:jc w:val="center"/>
            </w:pPr>
            <w:r>
              <w:rPr>
                <w:b/>
                <w:bCs/>
                <w:color w:val="6B7280"/>
                <w:sz w:val="20"/>
                <w:szCs w:val="20"/>
              </w:rPr>
              <w:t>19%</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809CA30" w14:textId="77777777" w:rsidR="00C57BC4" w:rsidRDefault="00000000">
            <w:pPr>
              <w:jc w:val="center"/>
            </w:pPr>
            <w:r>
              <w:rPr>
                <w:b/>
                <w:bCs/>
                <w:color w:val="991B1B"/>
                <w:sz w:val="20"/>
                <w:szCs w:val="20"/>
              </w:rPr>
              <w:t>41%</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A9E9849" w14:textId="77777777" w:rsidR="00C57BC4" w:rsidRDefault="00000000">
            <w:pPr>
              <w:jc w:val="center"/>
            </w:pPr>
            <w:r>
              <w:rPr>
                <w:b/>
                <w:bCs/>
                <w:color w:val="15803D"/>
                <w:sz w:val="20"/>
                <w:szCs w:val="20"/>
              </w:rPr>
              <w:t>45%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145044F"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FC311BB" w14:textId="77777777" w:rsidR="00C57BC4" w:rsidRDefault="00000000">
            <w:pPr>
              <w:jc w:val="center"/>
            </w:pPr>
            <w:r>
              <w:rPr>
                <w:b/>
                <w:bCs/>
                <w:color w:val="6B7280"/>
                <w:sz w:val="20"/>
                <w:szCs w:val="20"/>
              </w:rPr>
              <w:t>37%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98C1444" w14:textId="77777777" w:rsidR="00C57BC4" w:rsidRDefault="00000000">
            <w:pPr>
              <w:jc w:val="center"/>
            </w:pPr>
            <w:r>
              <w:rPr>
                <w:b/>
                <w:bCs/>
                <w:color w:val="15803D"/>
                <w:sz w:val="20"/>
                <w:szCs w:val="20"/>
              </w:rPr>
              <w:t>53%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DF24CBE" w14:textId="77777777" w:rsidR="00C57BC4" w:rsidRDefault="00000000">
            <w:pPr>
              <w:jc w:val="center"/>
            </w:pPr>
            <w:r>
              <w:rPr>
                <w:b/>
                <w:bCs/>
                <w:color w:val="6B7280"/>
                <w:sz w:val="20"/>
                <w:szCs w:val="20"/>
              </w:rPr>
              <w:t>16%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376FF45" w14:textId="77777777" w:rsidR="00C57BC4" w:rsidRDefault="00000000">
            <w:pPr>
              <w:jc w:val="center"/>
            </w:pPr>
            <w:r>
              <w:rPr>
                <w:b/>
                <w:bCs/>
                <w:color w:val="6B7280"/>
                <w:sz w:val="20"/>
                <w:szCs w:val="20"/>
              </w:rPr>
              <w:t>32%</w:t>
            </w:r>
          </w:p>
        </w:tc>
      </w:tr>
    </w:tbl>
    <w:p w14:paraId="0AB49732" w14:textId="77777777" w:rsidR="00C57BC4" w:rsidRDefault="00C57BC4">
      <w:pPr>
        <w:spacing w:before="80" w:after="80"/>
      </w:pPr>
    </w:p>
    <w:p w14:paraId="4D18FE1A" w14:textId="77777777" w:rsidR="00C57BC4" w:rsidRDefault="00000000">
      <w:pPr>
        <w:pStyle w:val="Heading2"/>
      </w:pPr>
      <w:r>
        <w:t>Friday April 10 — Disproof Condition Deactivates, Self-Sustaining Price</w:t>
      </w:r>
    </w:p>
    <w:p w14:paraId="52D91A57" w14:textId="77777777" w:rsidR="00C57BC4" w:rsidRDefault="00000000">
      <w:pPr>
        <w:spacing w:before="80" w:after="80"/>
      </w:pPr>
      <w:r>
        <w:t xml:space="preserve">Friday delivered what the framework needed most: a third consecutive clean session without a cross-asset shock, a second consecutive close above the </w:t>
      </w:r>
      <w:proofErr w:type="gramStart"/>
      <w:r>
        <w:t>EMA(</w:t>
      </w:r>
      <w:proofErr w:type="gramEnd"/>
      <w:r>
        <w:t>20), and — most significantly — the formal deactivation of Disproof Condition 2. The gold–silver ratio closed at 62.36, crossing below the 63.00 threshold that had been one of two active anchors for the prior bearish directional designation. The Dow fell 269 points on the day, yet silver still gained $0.85 to close at $76.17.</w:t>
      </w:r>
    </w:p>
    <w:p w14:paraId="6DD44ED9" w14:textId="77777777" w:rsidR="00C57BC4" w:rsidRDefault="00C57BC4">
      <w:pPr>
        <w:spacing w:before="40" w:after="40"/>
      </w:pPr>
    </w:p>
    <w:p w14:paraId="04E1D378" w14:textId="77777777" w:rsidR="00C57BC4" w:rsidRDefault="00000000">
      <w:pPr>
        <w:spacing w:before="80" w:after="80"/>
      </w:pPr>
      <w:r>
        <w:t>That last detail was noted by all three AIs as a meaningful character shift. April 8 and April 9 saw silver advance alongside macro tailwinds. April 10 saw silver advance against an equity headwind. The move was no longer riding the macro shock — it was sustaining itself through price behavior of its own. As Claude noted: “The market is being driven today by Price Behavior in its own right.”</w:t>
      </w:r>
    </w:p>
    <w:p w14:paraId="667A6727" w14:textId="77777777" w:rsidR="00C57BC4" w:rsidRDefault="00C57BC4">
      <w:pPr>
        <w:spacing w:before="40" w:after="40"/>
      </w:pPr>
    </w:p>
    <w:p w14:paraId="00D424BB" w14:textId="77777777" w:rsidR="00C57BC4" w:rsidRDefault="00000000">
      <w:pPr>
        <w:spacing w:before="80" w:after="80"/>
      </w:pPr>
      <w:r>
        <w:t>With Disproof Condition 2 deactivated and the Macro Shock reaching its minimum exit threshold at Day 3, the framework entered a state described as “Transition Watch.” Only one disproof condition remained active — Condition 1, which requires price above $79.00 to deactivate. The miner-silver divergence that had been building for two sessions in suspension was now eligible for formal evaluation at the next run. COMEX registered leverage reached a run-series high of 7.58x.</w:t>
      </w:r>
    </w:p>
    <w:p w14:paraId="6591BA13" w14:textId="77777777" w:rsidR="00C57BC4" w:rsidRDefault="00C57BC4">
      <w:pPr>
        <w:spacing w:before="40" w:after="40"/>
      </w:pPr>
    </w:p>
    <w:p w14:paraId="229C6830" w14:textId="77777777" w:rsidR="00C57BC4" w:rsidRDefault="00000000">
      <w:pPr>
        <w:spacing w:before="80" w:after="80"/>
      </w:pPr>
      <w:r>
        <w:t xml:space="preserve">The one note of structural caution: the COMEX spread slightly widened to the high-teens in cents, compared to the low-to-mid teens on Thursday. The futures market was not tightening its spread — it was oscillating. Until that spread </w:t>
      </w:r>
      <w:proofErr w:type="gramStart"/>
      <w:r>
        <w:t>compresses</w:t>
      </w:r>
      <w:proofErr w:type="gramEnd"/>
      <w:r>
        <w:t xml:space="preserve"> consistently toward zero, COMEX cannot be cited as a structural confirmation signal.</w:t>
      </w:r>
    </w:p>
    <w:p w14:paraId="6555ACFC" w14:textId="77777777" w:rsidR="00C57BC4" w:rsidRDefault="00C57BC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0"/>
        <w:gridCol w:w="848"/>
        <w:gridCol w:w="873"/>
        <w:gridCol w:w="873"/>
        <w:gridCol w:w="891"/>
        <w:gridCol w:w="916"/>
        <w:gridCol w:w="916"/>
        <w:gridCol w:w="891"/>
        <w:gridCol w:w="916"/>
        <w:gridCol w:w="916"/>
      </w:tblGrid>
      <w:tr w:rsidR="00C57BC4" w14:paraId="7CC170B0" w14:textId="77777777">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22DA3E8D" w14:textId="77777777" w:rsidR="00C57BC4" w:rsidRDefault="00C57BC4">
            <w:pPr>
              <w:jc w:val="center"/>
            </w:pP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299E7C7E" w14:textId="77777777" w:rsidR="00C57BC4" w:rsidRDefault="00000000">
            <w:pPr>
              <w:jc w:val="center"/>
            </w:pPr>
            <w:r>
              <w:rPr>
                <w:b/>
                <w:bCs/>
                <w:color w:val="FFFFFF"/>
                <w:sz w:val="18"/>
                <w:szCs w:val="18"/>
              </w:rPr>
              <w:t>5-Day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401ABC60" w14:textId="77777777" w:rsidR="00C57BC4" w:rsidRDefault="00000000">
            <w:pPr>
              <w:jc w:val="center"/>
            </w:pPr>
            <w:r>
              <w:rPr>
                <w:b/>
                <w:bCs/>
                <w:color w:val="FFFFFF"/>
                <w:sz w:val="18"/>
                <w:szCs w:val="18"/>
              </w:rPr>
              <w:t>5-Day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5CB9771B" w14:textId="77777777" w:rsidR="00C57BC4" w:rsidRDefault="00000000">
            <w:pPr>
              <w:jc w:val="center"/>
            </w:pPr>
            <w:r>
              <w:rPr>
                <w:b/>
                <w:bCs/>
                <w:color w:val="FFFFFF"/>
                <w:sz w:val="18"/>
                <w:szCs w:val="18"/>
              </w:rPr>
              <w:t>5-Day Bear</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521B248B" w14:textId="77777777" w:rsidR="00C57BC4" w:rsidRDefault="00000000">
            <w:pPr>
              <w:jc w:val="center"/>
            </w:pPr>
            <w:r>
              <w:rPr>
                <w:b/>
                <w:bCs/>
                <w:color w:val="FFFFFF"/>
                <w:sz w:val="18"/>
                <w:szCs w:val="18"/>
              </w:rPr>
              <w:t>10-Day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7655CB40" w14:textId="77777777" w:rsidR="00C57BC4" w:rsidRDefault="00000000">
            <w:pPr>
              <w:jc w:val="center"/>
            </w:pPr>
            <w:r>
              <w:rPr>
                <w:b/>
                <w:bCs/>
                <w:color w:val="FFFFFF"/>
                <w:sz w:val="18"/>
                <w:szCs w:val="18"/>
              </w:rPr>
              <w:t>10-Day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54633F86" w14:textId="77777777" w:rsidR="00C57BC4" w:rsidRDefault="00000000">
            <w:pPr>
              <w:jc w:val="center"/>
            </w:pPr>
            <w:r>
              <w:rPr>
                <w:b/>
                <w:bCs/>
                <w:color w:val="FFFFFF"/>
                <w:sz w:val="18"/>
                <w:szCs w:val="18"/>
              </w:rPr>
              <w:t>10-Day Bear</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7E88D975" w14:textId="77777777" w:rsidR="00C57BC4" w:rsidRDefault="00000000">
            <w:pPr>
              <w:jc w:val="center"/>
            </w:pPr>
            <w:r>
              <w:rPr>
                <w:b/>
                <w:bCs/>
                <w:color w:val="FFFFFF"/>
                <w:sz w:val="18"/>
                <w:szCs w:val="18"/>
              </w:rPr>
              <w:t>30-Day Bull</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630B5F47" w14:textId="77777777" w:rsidR="00C57BC4" w:rsidRDefault="00000000">
            <w:pPr>
              <w:jc w:val="center"/>
            </w:pPr>
            <w:r>
              <w:rPr>
                <w:b/>
                <w:bCs/>
                <w:color w:val="FFFFFF"/>
                <w:sz w:val="18"/>
                <w:szCs w:val="18"/>
              </w:rPr>
              <w:t>30-Day Neut</w:t>
            </w:r>
          </w:p>
        </w:tc>
        <w:tc>
          <w:tcPr>
            <w:tcW w:w="0" w:type="auto"/>
            <w:tcBorders>
              <w:top w:val="single" w:sz="1" w:space="0" w:color="CBD5E1"/>
              <w:left w:val="single" w:sz="1" w:space="0" w:color="CBD5E1"/>
              <w:bottom w:val="single" w:sz="1" w:space="0" w:color="CBD5E1"/>
              <w:right w:val="single" w:sz="1" w:space="0" w:color="CBD5E1"/>
            </w:tcBorders>
            <w:shd w:val="clear" w:color="auto" w:fill="1E3A5F"/>
            <w:tcMar>
              <w:top w:w="80" w:type="dxa"/>
              <w:left w:w="120" w:type="dxa"/>
              <w:bottom w:w="80" w:type="dxa"/>
              <w:right w:w="120" w:type="dxa"/>
            </w:tcMar>
            <w:vAlign w:val="center"/>
          </w:tcPr>
          <w:p w14:paraId="465317B6" w14:textId="77777777" w:rsidR="00C57BC4" w:rsidRDefault="00000000">
            <w:pPr>
              <w:jc w:val="center"/>
            </w:pPr>
            <w:r>
              <w:rPr>
                <w:b/>
                <w:bCs/>
                <w:color w:val="FFFFFF"/>
                <w:sz w:val="18"/>
                <w:szCs w:val="18"/>
              </w:rPr>
              <w:t>30-Day Bear</w:t>
            </w:r>
          </w:p>
        </w:tc>
      </w:tr>
      <w:tr w:rsidR="00C57BC4" w14:paraId="61DC05A8"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240D0C65" w14:textId="77777777" w:rsidR="00C57BC4" w:rsidRDefault="00000000">
            <w:r>
              <w:rPr>
                <w:b/>
                <w:bCs/>
                <w:color w:val="1E3A5F"/>
                <w:sz w:val="20"/>
                <w:szCs w:val="20"/>
              </w:rPr>
              <w:t>Claude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3A14D4B" w14:textId="77777777" w:rsidR="00C57BC4" w:rsidRDefault="00000000">
            <w:pPr>
              <w:jc w:val="center"/>
            </w:pPr>
            <w:r>
              <w:rPr>
                <w:b/>
                <w:bCs/>
                <w:color w:val="15803D"/>
                <w:sz w:val="20"/>
                <w:szCs w:val="20"/>
              </w:rPr>
              <w:t>45%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E1EFE79"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6156C0F" w14:textId="77777777" w:rsidR="00C57BC4" w:rsidRDefault="00000000">
            <w:pPr>
              <w:jc w:val="center"/>
            </w:pPr>
            <w:r>
              <w:rPr>
                <w:b/>
                <w:bCs/>
                <w:color w:val="6B7280"/>
                <w:sz w:val="20"/>
                <w:szCs w:val="20"/>
              </w:rPr>
              <w:t>37%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EDF37EA" w14:textId="77777777" w:rsidR="00C57BC4" w:rsidRDefault="00000000">
            <w:pPr>
              <w:jc w:val="center"/>
            </w:pPr>
            <w:r>
              <w:rPr>
                <w:b/>
                <w:bCs/>
                <w:color w:val="15803D"/>
                <w:sz w:val="20"/>
                <w:szCs w:val="20"/>
              </w:rPr>
              <w:t>49%</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470FC40" w14:textId="77777777" w:rsidR="00C57BC4" w:rsidRDefault="00000000">
            <w:pPr>
              <w:jc w:val="center"/>
            </w:pPr>
            <w:r>
              <w:rPr>
                <w:b/>
                <w:bCs/>
                <w:color w:val="6B7280"/>
                <w:sz w:val="20"/>
                <w:szCs w:val="20"/>
              </w:rPr>
              <w:t>17%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D8A00FD" w14:textId="77777777" w:rsidR="00C57BC4" w:rsidRDefault="00000000">
            <w:pPr>
              <w:jc w:val="center"/>
            </w:pPr>
            <w:r>
              <w:rPr>
                <w:b/>
                <w:bCs/>
                <w:color w:val="6B7280"/>
                <w:sz w:val="20"/>
                <w:szCs w:val="20"/>
              </w:rPr>
              <w:t>34%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254A64E" w14:textId="77777777" w:rsidR="00C57BC4" w:rsidRDefault="00000000">
            <w:pPr>
              <w:jc w:val="center"/>
            </w:pPr>
            <w:r>
              <w:rPr>
                <w:b/>
                <w:bCs/>
                <w:color w:val="15803D"/>
                <w:sz w:val="20"/>
                <w:szCs w:val="20"/>
              </w:rPr>
              <w:t>54%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47CC140" w14:textId="77777777" w:rsidR="00C57BC4" w:rsidRDefault="00000000">
            <w:pPr>
              <w:jc w:val="center"/>
            </w:pPr>
            <w:r>
              <w:rPr>
                <w:b/>
                <w:bCs/>
                <w:color w:val="6B7280"/>
                <w:sz w:val="20"/>
                <w:szCs w:val="20"/>
              </w:rPr>
              <w:t>16%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10E6F99" w14:textId="77777777" w:rsidR="00C57BC4" w:rsidRDefault="00000000">
            <w:pPr>
              <w:jc w:val="center"/>
            </w:pPr>
            <w:r>
              <w:rPr>
                <w:b/>
                <w:bCs/>
                <w:color w:val="6B7280"/>
                <w:sz w:val="20"/>
                <w:szCs w:val="20"/>
              </w:rPr>
              <w:t>30%</w:t>
            </w:r>
          </w:p>
        </w:tc>
      </w:tr>
      <w:tr w:rsidR="00C57BC4" w14:paraId="0FCE38D9"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50D1DAB8" w14:textId="77777777" w:rsidR="00C57BC4" w:rsidRDefault="00000000">
            <w:r>
              <w:rPr>
                <w:b/>
                <w:bCs/>
                <w:color w:val="1E3A5F"/>
                <w:sz w:val="20"/>
                <w:szCs w:val="20"/>
              </w:rPr>
              <w:t>ChatGPT</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1DC092C6" w14:textId="77777777" w:rsidR="00C57BC4" w:rsidRDefault="00000000">
            <w:pPr>
              <w:jc w:val="center"/>
            </w:pPr>
            <w:r>
              <w:rPr>
                <w:b/>
                <w:bCs/>
                <w:color w:val="15803D"/>
                <w:sz w:val="20"/>
                <w:szCs w:val="20"/>
              </w:rPr>
              <w:t>48%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FCB65CE" w14:textId="77777777" w:rsidR="00C57BC4" w:rsidRDefault="00000000">
            <w:pPr>
              <w:jc w:val="center"/>
            </w:pPr>
            <w:r>
              <w:rPr>
                <w:b/>
                <w:bCs/>
                <w:color w:val="6B7280"/>
                <w:sz w:val="20"/>
                <w:szCs w:val="20"/>
              </w:rPr>
              <w:t>17%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390D92A9" w14:textId="77777777" w:rsidR="00C57BC4" w:rsidRDefault="00000000">
            <w:pPr>
              <w:jc w:val="center"/>
            </w:pPr>
            <w:r>
              <w:rPr>
                <w:b/>
                <w:bCs/>
                <w:color w:val="6B7280"/>
                <w:sz w:val="20"/>
                <w:szCs w:val="20"/>
              </w:rPr>
              <w:t>35%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8C03CED" w14:textId="77777777" w:rsidR="00C57BC4" w:rsidRDefault="00000000">
            <w:pPr>
              <w:jc w:val="center"/>
            </w:pPr>
            <w:r>
              <w:rPr>
                <w:b/>
                <w:bCs/>
                <w:color w:val="15803D"/>
                <w:sz w:val="20"/>
                <w:szCs w:val="20"/>
              </w:rPr>
              <w:t>53%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1EE40A3" w14:textId="77777777" w:rsidR="00C57BC4" w:rsidRDefault="00000000">
            <w:pPr>
              <w:jc w:val="center"/>
            </w:pPr>
            <w:r>
              <w:rPr>
                <w:b/>
                <w:bCs/>
                <w:color w:val="6B7280"/>
                <w:sz w:val="20"/>
                <w:szCs w:val="20"/>
              </w:rPr>
              <w:t>16%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C32A6AD" w14:textId="77777777" w:rsidR="00C57BC4" w:rsidRDefault="00000000">
            <w:pPr>
              <w:jc w:val="center"/>
            </w:pPr>
            <w:r>
              <w:rPr>
                <w:b/>
                <w:bCs/>
                <w:color w:val="6B7280"/>
                <w:sz w:val="20"/>
                <w:szCs w:val="20"/>
              </w:rPr>
              <w:t>31%</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E30FF30" w14:textId="77777777" w:rsidR="00C57BC4" w:rsidRDefault="00000000">
            <w:pPr>
              <w:jc w:val="center"/>
            </w:pPr>
            <w:r>
              <w:rPr>
                <w:b/>
                <w:bCs/>
                <w:color w:val="15803D"/>
                <w:sz w:val="20"/>
                <w:szCs w:val="20"/>
              </w:rPr>
              <w:t>60%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8BA7ABB" w14:textId="77777777" w:rsidR="00C57BC4" w:rsidRDefault="00000000">
            <w:pPr>
              <w:jc w:val="center"/>
            </w:pPr>
            <w:r>
              <w:rPr>
                <w:b/>
                <w:bCs/>
                <w:color w:val="6B7280"/>
                <w:sz w:val="20"/>
                <w:szCs w:val="20"/>
              </w:rPr>
              <w:t>13%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5030470" w14:textId="77777777" w:rsidR="00C57BC4" w:rsidRDefault="00000000">
            <w:pPr>
              <w:jc w:val="center"/>
            </w:pPr>
            <w:r>
              <w:rPr>
                <w:b/>
                <w:bCs/>
                <w:color w:val="6B7280"/>
                <w:sz w:val="20"/>
                <w:szCs w:val="20"/>
              </w:rPr>
              <w:t>27%</w:t>
            </w:r>
          </w:p>
        </w:tc>
      </w:tr>
      <w:tr w:rsidR="00C57BC4" w14:paraId="754B4E74"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75678F8E" w14:textId="77777777" w:rsidR="00C57BC4" w:rsidRDefault="00000000">
            <w:r>
              <w:rPr>
                <w:b/>
                <w:bCs/>
                <w:color w:val="1E3A5F"/>
                <w:sz w:val="20"/>
                <w:szCs w:val="20"/>
              </w:rPr>
              <w:t>DeepSeek</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0FB39AB" w14:textId="77777777" w:rsidR="00C57BC4" w:rsidRDefault="00000000">
            <w:pPr>
              <w:jc w:val="center"/>
            </w:pPr>
            <w:r>
              <w:rPr>
                <w:b/>
                <w:bCs/>
                <w:color w:val="166534"/>
                <w:sz w:val="20"/>
                <w:szCs w:val="20"/>
              </w:rPr>
              <w:t>42%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0E00AFE"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E12A31E" w14:textId="77777777" w:rsidR="00C57BC4" w:rsidRDefault="00000000">
            <w:pPr>
              <w:jc w:val="center"/>
            </w:pPr>
            <w:r>
              <w:rPr>
                <w:b/>
                <w:bCs/>
                <w:color w:val="991B1B"/>
                <w:sz w:val="20"/>
                <w:szCs w:val="20"/>
              </w:rPr>
              <w:t>40%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7C087E80" w14:textId="77777777" w:rsidR="00C57BC4" w:rsidRDefault="00000000">
            <w:pPr>
              <w:jc w:val="center"/>
            </w:pPr>
            <w:r>
              <w:rPr>
                <w:b/>
                <w:bCs/>
                <w:color w:val="15803D"/>
                <w:sz w:val="20"/>
                <w:szCs w:val="20"/>
              </w:rPr>
              <w:t>47%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CE9F513" w14:textId="77777777" w:rsidR="00C57BC4" w:rsidRDefault="00000000">
            <w:pPr>
              <w:jc w:val="center"/>
            </w:pPr>
            <w:r>
              <w:rPr>
                <w:b/>
                <w:bCs/>
                <w:color w:val="6B7280"/>
                <w:sz w:val="20"/>
                <w:szCs w:val="20"/>
              </w:rPr>
              <w:t>17%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66BCE6A" w14:textId="77777777" w:rsidR="00C57BC4" w:rsidRDefault="00000000">
            <w:pPr>
              <w:jc w:val="center"/>
            </w:pPr>
            <w:r>
              <w:rPr>
                <w:b/>
                <w:bCs/>
                <w:color w:val="6B7280"/>
                <w:sz w:val="20"/>
                <w:szCs w:val="20"/>
              </w:rPr>
              <w:t>36%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0DAA3BB" w14:textId="77777777" w:rsidR="00C57BC4" w:rsidRDefault="00000000">
            <w:pPr>
              <w:jc w:val="center"/>
            </w:pPr>
            <w:r>
              <w:rPr>
                <w:b/>
                <w:bCs/>
                <w:color w:val="15803D"/>
                <w:sz w:val="20"/>
                <w:szCs w:val="20"/>
              </w:rPr>
              <w:t>54%</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EC813FF" w14:textId="77777777" w:rsidR="00C57BC4" w:rsidRDefault="00000000">
            <w:pPr>
              <w:jc w:val="center"/>
            </w:pPr>
            <w:r>
              <w:rPr>
                <w:b/>
                <w:bCs/>
                <w:color w:val="6B7280"/>
                <w:sz w:val="20"/>
                <w:szCs w:val="20"/>
              </w:rPr>
              <w:t>15%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0CB42064" w14:textId="77777777" w:rsidR="00C57BC4" w:rsidRDefault="00000000">
            <w:pPr>
              <w:jc w:val="center"/>
            </w:pPr>
            <w:r>
              <w:rPr>
                <w:b/>
                <w:bCs/>
                <w:color w:val="6B7280"/>
                <w:sz w:val="20"/>
                <w:szCs w:val="20"/>
              </w:rPr>
              <w:t>31%</w:t>
            </w:r>
          </w:p>
        </w:tc>
      </w:tr>
      <w:tr w:rsidR="00C57BC4" w14:paraId="5EF48E69"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650DA5D5" w14:textId="77777777" w:rsidR="00C57BC4" w:rsidRDefault="00000000">
            <w:r>
              <w:rPr>
                <w:b/>
                <w:bCs/>
                <w:color w:val="1E3A5F"/>
                <w:sz w:val="20"/>
                <w:szCs w:val="20"/>
              </w:rPr>
              <w:t>Consensus</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79FD995" w14:textId="77777777" w:rsidR="00C57BC4" w:rsidRDefault="00000000">
            <w:pPr>
              <w:jc w:val="center"/>
            </w:pPr>
            <w:r>
              <w:rPr>
                <w:b/>
                <w:bCs/>
                <w:color w:val="15803D"/>
                <w:sz w:val="20"/>
                <w:szCs w:val="20"/>
              </w:rPr>
              <w:t>45%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2A6B16FA" w14:textId="77777777" w:rsidR="00C57BC4" w:rsidRDefault="00000000">
            <w:pPr>
              <w:jc w:val="center"/>
            </w:pPr>
            <w:r>
              <w:rPr>
                <w:b/>
                <w:bCs/>
                <w:color w:val="6B7280"/>
                <w:sz w:val="20"/>
                <w:szCs w:val="20"/>
              </w:rPr>
              <w:t>18%</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695D333C" w14:textId="77777777" w:rsidR="00C57BC4" w:rsidRDefault="00000000">
            <w:pPr>
              <w:jc w:val="center"/>
            </w:pPr>
            <w:r>
              <w:rPr>
                <w:b/>
                <w:bCs/>
                <w:color w:val="6B7280"/>
                <w:sz w:val="20"/>
                <w:szCs w:val="20"/>
              </w:rPr>
              <w:t>37%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37836A67" w14:textId="77777777" w:rsidR="00C57BC4" w:rsidRDefault="00000000">
            <w:pPr>
              <w:jc w:val="center"/>
            </w:pPr>
            <w:r>
              <w:rPr>
                <w:b/>
                <w:bCs/>
                <w:color w:val="15803D"/>
                <w:sz w:val="20"/>
                <w:szCs w:val="20"/>
              </w:rPr>
              <w:t>50%</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795B095" w14:textId="77777777" w:rsidR="00C57BC4" w:rsidRDefault="00000000">
            <w:pPr>
              <w:jc w:val="center"/>
            </w:pPr>
            <w:r>
              <w:rPr>
                <w:b/>
                <w:bCs/>
                <w:color w:val="6B7280"/>
                <w:sz w:val="20"/>
                <w:szCs w:val="20"/>
              </w:rPr>
              <w:t>17%</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4A422B0" w14:textId="77777777" w:rsidR="00C57BC4" w:rsidRDefault="00000000">
            <w:pPr>
              <w:jc w:val="center"/>
            </w:pPr>
            <w:r>
              <w:rPr>
                <w:b/>
                <w:bCs/>
                <w:color w:val="6B7280"/>
                <w:sz w:val="20"/>
                <w:szCs w:val="20"/>
              </w:rPr>
              <w:t>33%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37D39C9E" w14:textId="77777777" w:rsidR="00C57BC4" w:rsidRDefault="00000000">
            <w:pPr>
              <w:jc w:val="center"/>
            </w:pPr>
            <w:r>
              <w:rPr>
                <w:b/>
                <w:bCs/>
                <w:color w:val="15803D"/>
                <w:sz w:val="20"/>
                <w:szCs w:val="20"/>
              </w:rPr>
              <w:t>56%</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4C2C3BB4" w14:textId="77777777" w:rsidR="00C57BC4" w:rsidRDefault="00000000">
            <w:pPr>
              <w:jc w:val="center"/>
            </w:pPr>
            <w:r>
              <w:rPr>
                <w:b/>
                <w:bCs/>
                <w:color w:val="6B7280"/>
                <w:sz w:val="20"/>
                <w:szCs w:val="20"/>
              </w:rPr>
              <w:t>15%</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vAlign w:val="center"/>
          </w:tcPr>
          <w:p w14:paraId="57FB4E38" w14:textId="77777777" w:rsidR="00C57BC4" w:rsidRDefault="00000000">
            <w:pPr>
              <w:jc w:val="center"/>
            </w:pPr>
            <w:r>
              <w:rPr>
                <w:b/>
                <w:bCs/>
                <w:color w:val="6B7280"/>
                <w:sz w:val="20"/>
                <w:szCs w:val="20"/>
              </w:rPr>
              <w:t>29%</w:t>
            </w:r>
          </w:p>
        </w:tc>
      </w:tr>
    </w:tbl>
    <w:p w14:paraId="67084AB4" w14:textId="77777777" w:rsidR="00C57BC4" w:rsidRDefault="00C57BC4">
      <w:pPr>
        <w:spacing w:before="80" w:after="80"/>
      </w:pPr>
    </w:p>
    <w:p w14:paraId="4426BF32" w14:textId="77777777" w:rsidR="00C57BC4" w:rsidRDefault="00C57BC4">
      <w:pPr>
        <w:pBdr>
          <w:bottom w:val="single" w:sz="4" w:space="1" w:color="DBEAFE"/>
        </w:pBdr>
        <w:spacing w:before="120" w:after="120"/>
      </w:pPr>
    </w:p>
    <w:p w14:paraId="1D81B8E8" w14:textId="77777777" w:rsidR="00C57BC4" w:rsidRDefault="00000000">
      <w:pPr>
        <w:pStyle w:val="Heading1"/>
      </w:pPr>
      <w:r>
        <w:t>AI Divergence Analysis: Where They Agreed and Disagreed</w:t>
      </w:r>
    </w:p>
    <w:p w14:paraId="149F6AA9" w14:textId="77777777" w:rsidR="00C57BC4" w:rsidRDefault="00000000">
      <w:pPr>
        <w:pStyle w:val="Heading2"/>
      </w:pPr>
      <w:r>
        <w:t>Where All Three Were Aligned</w:t>
      </w:r>
    </w:p>
    <w:p w14:paraId="42CB88B8" w14:textId="77777777" w:rsidR="00C57BC4" w:rsidRDefault="00000000">
      <w:pPr>
        <w:spacing w:before="60" w:after="60"/>
        <w:ind w:left="360" w:hanging="200"/>
      </w:pPr>
      <w:r>
        <w:rPr>
          <w:b/>
          <w:bCs/>
          <w:color w:val="2563EB"/>
        </w:rPr>
        <w:lastRenderedPageBreak/>
        <w:t xml:space="preserve">•  </w:t>
      </w:r>
      <w:r>
        <w:t>Price Behavior was dominant at every session of the week — no migration was proposed or executed at any point.</w:t>
      </w:r>
    </w:p>
    <w:p w14:paraId="1548E4F2" w14:textId="77777777" w:rsidR="00C57BC4" w:rsidRDefault="00000000">
      <w:pPr>
        <w:spacing w:before="60" w:after="60"/>
        <w:ind w:left="360" w:hanging="200"/>
      </w:pPr>
      <w:r>
        <w:rPr>
          <w:b/>
          <w:bCs/>
          <w:color w:val="2563EB"/>
        </w:rPr>
        <w:t xml:space="preserve">•  </w:t>
      </w:r>
      <w:r>
        <w:t>The COMEX spread not inverting was the single most important constraint preventing structural reclassification. All three AIs cited this consistently.</w:t>
      </w:r>
    </w:p>
    <w:p w14:paraId="2883D32F" w14:textId="77777777" w:rsidR="00C57BC4" w:rsidRDefault="00000000">
      <w:pPr>
        <w:spacing w:before="60" w:after="60"/>
        <w:ind w:left="360" w:hanging="200"/>
      </w:pPr>
      <w:r>
        <w:rPr>
          <w:b/>
          <w:bCs/>
          <w:color w:val="2563EB"/>
        </w:rPr>
        <w:t xml:space="preserve">•  </w:t>
      </w:r>
      <w:r>
        <w:t>The macro shock on April 8 was correctly classified, and the Macro Shock Protocol was appropriate — all three agreed this was externally driven.</w:t>
      </w:r>
    </w:p>
    <w:p w14:paraId="64497F8C" w14:textId="77777777" w:rsidR="00C57BC4" w:rsidRDefault="00000000">
      <w:pPr>
        <w:spacing w:before="60" w:after="60"/>
        <w:ind w:left="360" w:hanging="200"/>
      </w:pPr>
      <w:r>
        <w:rPr>
          <w:b/>
          <w:bCs/>
          <w:color w:val="2563EB"/>
        </w:rPr>
        <w:t xml:space="preserve">•  </w:t>
      </w:r>
      <w:r>
        <w:t>By Friday, all three systems had moved to a provisional bullish directional interpretation for the 5-, 10-, and 30-day horizons.</w:t>
      </w:r>
    </w:p>
    <w:p w14:paraId="72AF1704" w14:textId="77777777" w:rsidR="00C57BC4" w:rsidRDefault="00000000">
      <w:pPr>
        <w:spacing w:before="60" w:after="60"/>
        <w:ind w:left="360" w:hanging="200"/>
      </w:pPr>
      <w:r>
        <w:rPr>
          <w:b/>
          <w:bCs/>
          <w:color w:val="2563EB"/>
        </w:rPr>
        <w:t xml:space="preserve">•  </w:t>
      </w:r>
      <w:r>
        <w:t>The SHFE inventory rebuild (from depletion to +44.92% over 30 days) moderated, but did not eliminate, the China Layer urgency argument.</w:t>
      </w:r>
    </w:p>
    <w:p w14:paraId="4212E9A4" w14:textId="77777777" w:rsidR="00C57BC4" w:rsidRDefault="00C57BC4">
      <w:pPr>
        <w:spacing w:before="40" w:after="40"/>
      </w:pPr>
    </w:p>
    <w:p w14:paraId="6A9A15B6" w14:textId="77777777" w:rsidR="00C57BC4" w:rsidRDefault="00000000">
      <w:pPr>
        <w:pStyle w:val="Heading2"/>
      </w:pPr>
      <w:r>
        <w:t>Where They Diverged</w:t>
      </w:r>
    </w:p>
    <w:p w14:paraId="343FDEDB" w14:textId="77777777" w:rsidR="00C57BC4" w:rsidRDefault="00000000">
      <w:pPr>
        <w:spacing w:before="80" w:after="80"/>
      </w:pPr>
      <w:r>
        <w:t>The principal AI disagreement through the week was on how quickly the framework should respond to accumulating signals that had not yet formally triggered. DeepSeek was consistently the most aggressive in arguing the system was describing a transition without executing one, calling out the “circular justification” of using non-transmission as both the explanation for and the resolution of divergence. Claude was most committed to the framework’s protocol as written, consistently defending the threshold-based approach as a necessary restraint against false positives. ChatGPT occupied a synthesis role throughout — affirming both the framework’s correctness and DeepSeek’s substantive concerns about interpretive lag.</w:t>
      </w:r>
    </w:p>
    <w:p w14:paraId="11553514" w14:textId="77777777" w:rsidR="00C57BC4" w:rsidRDefault="00C57BC4">
      <w:pPr>
        <w:spacing w:before="40" w:after="40"/>
      </w:pPr>
    </w:p>
    <w:p w14:paraId="0CE1F89D" w14:textId="77777777" w:rsidR="00C57BC4" w:rsidRDefault="00000000">
      <w:pPr>
        <w:spacing w:before="80" w:after="80"/>
      </w:pPr>
      <w:r>
        <w:t>In probability terms, ChatGPT was systematically the most bullish at the 30-day horizon all week, reflecting higher confidence that structural transmission would eventually occur. DeepSeek was most cautious at the 5- and 10-day horizons, applying larger risk discounts for the possibility of reversal before the macro shock window closed. Claude sat between the two at every horizon.</w:t>
      </w:r>
    </w:p>
    <w:p w14:paraId="540B694A" w14:textId="77777777" w:rsidR="00C57BC4" w:rsidRDefault="00C57BC4">
      <w:pPr>
        <w:spacing w:before="40" w:after="40"/>
      </w:pPr>
    </w:p>
    <w:p w14:paraId="54D315F2" w14:textId="77777777" w:rsidR="00C57BC4" w:rsidRDefault="00000000">
      <w:pPr>
        <w:pStyle w:val="Heading2"/>
      </w:pPr>
      <w:r>
        <w:t>A Note on the COMEX vs. China Ranking Debate</w:t>
      </w:r>
    </w:p>
    <w:p w14:paraId="40FDCB7E" w14:textId="77777777" w:rsidR="00C57BC4" w:rsidRDefault="00000000">
      <w:pPr>
        <w:spacing w:before="80" w:after="80"/>
      </w:pPr>
      <w:r>
        <w:t>One recurring analytical disagreement was the order of the second-ranked layer in the dominance hierarchy. Claude consistently kept the China Layer at second per the established working dominance order. Both DeepSeek and the ChatGPT independent rerun elevated COMEX to second on the April 9 and April 10 data, arguing that by those sessions COMEX combined the highest registered leverage in the run (7.53x–7.58x), the largest OI expansion, and narrowing contango — while China’s urgency case was simultaneously being moderated by the SHFE rebuild and LBMA monthly gain. The human operator’s working dominance order remained in effect throughout. This disagreement is a diagnostic one and does not affect the migration decision, but it is worth tracking as it may influence which layer triggers the next formal governance escalation.</w:t>
      </w:r>
    </w:p>
    <w:p w14:paraId="63746DCC" w14:textId="77777777" w:rsidR="00C57BC4" w:rsidRDefault="00C57BC4">
      <w:pPr>
        <w:spacing w:before="80" w:after="80"/>
      </w:pPr>
    </w:p>
    <w:p w14:paraId="04A520D3" w14:textId="77777777" w:rsidR="00C57BC4" w:rsidRDefault="00C57BC4">
      <w:pPr>
        <w:pBdr>
          <w:bottom w:val="single" w:sz="4" w:space="1" w:color="DBEAFE"/>
        </w:pBdr>
        <w:spacing w:before="120" w:after="120"/>
      </w:pPr>
    </w:p>
    <w:p w14:paraId="4DE8FFD7" w14:textId="77777777" w:rsidR="00C57BC4" w:rsidRDefault="00000000">
      <w:pPr>
        <w:pStyle w:val="Heading1"/>
      </w:pPr>
      <w:r>
        <w:t>Outlook and Key Monitors for Next Week</w:t>
      </w:r>
    </w:p>
    <w:p w14:paraId="7EABB5FD" w14:textId="77777777" w:rsidR="00C57BC4" w:rsidRDefault="00000000">
      <w:pPr>
        <w:pStyle w:val="Heading2"/>
      </w:pPr>
      <w:r>
        <w:t>What Changed This Week</w:t>
      </w:r>
    </w:p>
    <w:p w14:paraId="1C71B7C7" w14:textId="77777777" w:rsidR="00C57BC4" w:rsidRDefault="00000000">
      <w:pPr>
        <w:spacing w:before="60" w:after="60"/>
        <w:ind w:left="360" w:hanging="200"/>
      </w:pPr>
      <w:r>
        <w:rPr>
          <w:b/>
          <w:bCs/>
          <w:color w:val="2563EB"/>
        </w:rPr>
        <w:lastRenderedPageBreak/>
        <w:t xml:space="preserve">•  </w:t>
      </w:r>
      <w:r>
        <w:t>Disproof Condition 2 deactivated (GSR 62.36, below 63.00 threshold as of April 10 close).</w:t>
      </w:r>
    </w:p>
    <w:p w14:paraId="51A4135A" w14:textId="77777777" w:rsidR="00C57BC4" w:rsidRDefault="00000000">
      <w:pPr>
        <w:spacing w:before="60" w:after="60"/>
        <w:ind w:left="360" w:hanging="200"/>
      </w:pPr>
      <w:r>
        <w:rPr>
          <w:b/>
          <w:bCs/>
          <w:color w:val="2563EB"/>
        </w:rPr>
        <w:t xml:space="preserve">•  </w:t>
      </w:r>
      <w:r>
        <w:t xml:space="preserve">Price closed above </w:t>
      </w:r>
      <w:proofErr w:type="gramStart"/>
      <w:r>
        <w:t>EMA(</w:t>
      </w:r>
      <w:proofErr w:type="gramEnd"/>
      <w:r>
        <w:t>20) for two consecutive sessions for the first time in the current analytical run.</w:t>
      </w:r>
    </w:p>
    <w:p w14:paraId="1E87372B" w14:textId="77777777" w:rsidR="00C57BC4" w:rsidRDefault="00000000">
      <w:pPr>
        <w:spacing w:before="60" w:after="60"/>
        <w:ind w:left="360" w:hanging="200"/>
      </w:pPr>
      <w:r>
        <w:rPr>
          <w:b/>
          <w:bCs/>
          <w:color w:val="2563EB"/>
        </w:rPr>
        <w:t xml:space="preserve">•  </w:t>
      </w:r>
      <w:r>
        <w:t>Macro Shock Protocol officially reached Day 3, its minimum exit threshold — pending operator confirmation as resolved.</w:t>
      </w:r>
    </w:p>
    <w:p w14:paraId="445C2D6F" w14:textId="77777777" w:rsidR="00C57BC4" w:rsidRDefault="00000000">
      <w:pPr>
        <w:spacing w:before="60" w:after="60"/>
        <w:ind w:left="360" w:hanging="200"/>
      </w:pPr>
      <w:r>
        <w:rPr>
          <w:b/>
          <w:bCs/>
          <w:color w:val="2563EB"/>
        </w:rPr>
        <w:t xml:space="preserve">•  </w:t>
      </w:r>
      <w:r>
        <w:t xml:space="preserve">Silver advanced on a day the Dow fell 269 points — a character shift from earlier sessions that required macro </w:t>
      </w:r>
      <w:proofErr w:type="gramStart"/>
      <w:r>
        <w:t>tailwinds</w:t>
      </w:r>
      <w:proofErr w:type="gramEnd"/>
      <w:r>
        <w:t>.</w:t>
      </w:r>
    </w:p>
    <w:p w14:paraId="1F47D9BC" w14:textId="77777777" w:rsidR="00C57BC4" w:rsidRDefault="00000000">
      <w:pPr>
        <w:spacing w:before="60" w:after="60"/>
        <w:ind w:left="360" w:hanging="200"/>
      </w:pPr>
      <w:r>
        <w:rPr>
          <w:b/>
          <w:bCs/>
          <w:color w:val="2563EB"/>
        </w:rPr>
        <w:t xml:space="preserve">•  </w:t>
      </w:r>
      <w:r>
        <w:t>Miner-silver divergence (two sessions preserved in suspension) is now eligible for formal Day 1 evaluation once macro shock exits.</w:t>
      </w:r>
    </w:p>
    <w:p w14:paraId="2278D60B" w14:textId="77777777" w:rsidR="00C57BC4" w:rsidRDefault="00000000">
      <w:pPr>
        <w:spacing w:before="60" w:after="60"/>
        <w:ind w:left="360" w:hanging="200"/>
      </w:pPr>
      <w:r>
        <w:rPr>
          <w:b/>
          <w:bCs/>
          <w:color w:val="2563EB"/>
        </w:rPr>
        <w:t xml:space="preserve">•  </w:t>
      </w:r>
      <w:r>
        <w:t>COMEX registered leverage hit 7.58x, the highest reading of the run series.</w:t>
      </w:r>
    </w:p>
    <w:p w14:paraId="10B8282F" w14:textId="77777777" w:rsidR="00C57BC4" w:rsidRDefault="00C57BC4">
      <w:pPr>
        <w:spacing w:before="40" w:after="40"/>
      </w:pPr>
    </w:p>
    <w:p w14:paraId="03EA51CB" w14:textId="77777777" w:rsidR="00C57BC4" w:rsidRDefault="00000000">
      <w:pPr>
        <w:pStyle w:val="Heading2"/>
      </w:pPr>
      <w:r>
        <w:t>What Did Not Change</w:t>
      </w:r>
    </w:p>
    <w:p w14:paraId="4F508D7F" w14:textId="77777777" w:rsidR="00C57BC4" w:rsidRDefault="00000000">
      <w:pPr>
        <w:spacing w:before="60" w:after="60"/>
        <w:ind w:left="360" w:hanging="200"/>
      </w:pPr>
      <w:r>
        <w:rPr>
          <w:b/>
          <w:bCs/>
          <w:color w:val="2563EB"/>
        </w:rPr>
        <w:t xml:space="preserve">•  </w:t>
      </w:r>
      <w:r>
        <w:t>Disproof Condition 1 remains active. Silver at $76.17 is $2.83 below the $79.00 threshold required for deactivation.</w:t>
      </w:r>
    </w:p>
    <w:p w14:paraId="6051162E" w14:textId="77777777" w:rsidR="00C57BC4" w:rsidRDefault="00000000">
      <w:pPr>
        <w:spacing w:before="60" w:after="60"/>
        <w:ind w:left="360" w:hanging="200"/>
      </w:pPr>
      <w:r>
        <w:rPr>
          <w:b/>
          <w:bCs/>
          <w:color w:val="2563EB"/>
        </w:rPr>
        <w:t xml:space="preserve">•  </w:t>
      </w:r>
      <w:r>
        <w:t>COMEX spread remained in contango throughout — high-teens on Friday, slightly wider than Thursday. No backwardation, no delivery urgency signal.</w:t>
      </w:r>
    </w:p>
    <w:p w14:paraId="21CCC2C5" w14:textId="77777777" w:rsidR="00C57BC4" w:rsidRDefault="00000000">
      <w:pPr>
        <w:spacing w:before="60" w:after="60"/>
        <w:ind w:left="360" w:hanging="200"/>
      </w:pPr>
      <w:r>
        <w:rPr>
          <w:b/>
          <w:bCs/>
          <w:color w:val="2563EB"/>
        </w:rPr>
        <w:t xml:space="preserve">•  </w:t>
      </w:r>
      <w:r>
        <w:t>SHFE inventory continues to rebuild (+891,600 oz on April 10, 35.97% over 30 days). The Chinese demand urgency argument is moderating.</w:t>
      </w:r>
    </w:p>
    <w:p w14:paraId="4758D429" w14:textId="77777777" w:rsidR="00C57BC4" w:rsidRDefault="00000000">
      <w:pPr>
        <w:spacing w:before="60" w:after="60"/>
        <w:ind w:left="360" w:hanging="200"/>
      </w:pPr>
      <w:r>
        <w:rPr>
          <w:b/>
          <w:bCs/>
          <w:color w:val="2563EB"/>
        </w:rPr>
        <w:t xml:space="preserve">•  </w:t>
      </w:r>
      <w:r>
        <w:t>No migration executed. Price Behavior remains the dominant layer. The framework has not formally changed its dominant designation.</w:t>
      </w:r>
    </w:p>
    <w:p w14:paraId="35D00582" w14:textId="77777777" w:rsidR="00C57BC4" w:rsidRDefault="00C57BC4">
      <w:pPr>
        <w:spacing w:before="40" w:after="40"/>
      </w:pPr>
    </w:p>
    <w:p w14:paraId="08701330" w14:textId="77777777" w:rsidR="00C57BC4" w:rsidRDefault="00000000">
      <w:pPr>
        <w:pStyle w:val="Heading2"/>
      </w:pPr>
      <w:r>
        <w:t>The Three Monitors That Matter Most</w:t>
      </w:r>
    </w:p>
    <w:p w14:paraId="4E9CCC70" w14:textId="77777777" w:rsidR="00C57BC4" w:rsidRDefault="00000000">
      <w:pPr>
        <w:spacing w:before="200" w:after="80"/>
      </w:pPr>
      <w:r>
        <w:rPr>
          <w:b/>
          <w:bCs/>
          <w:color w:val="1E3A5F"/>
          <w:sz w:val="24"/>
          <w:szCs w:val="24"/>
        </w:rPr>
        <w:t>1. COMEX Spread Direction</w:t>
      </w:r>
    </w:p>
    <w:p w14:paraId="705BC0C6" w14:textId="77777777" w:rsidR="00C57BC4" w:rsidRDefault="00000000">
      <w:pPr>
        <w:spacing w:before="80" w:after="80"/>
      </w:pPr>
      <w:r>
        <w:t xml:space="preserve">This is the </w:t>
      </w:r>
      <w:proofErr w:type="gramStart"/>
      <w:r>
        <w:t>highest-resolution</w:t>
      </w:r>
      <w:proofErr w:type="gramEnd"/>
      <w:r>
        <w:t xml:space="preserve"> diagnostic available. The framework’s most critical structural threshold is a move to zero or backwardation in the cash-to-May spread. After oscillating near single digits for much of the early week and widening slightly to </w:t>
      </w:r>
      <w:proofErr w:type="gramStart"/>
      <w:r>
        <w:t>high-teens</w:t>
      </w:r>
      <w:proofErr w:type="gramEnd"/>
      <w:r>
        <w:t xml:space="preserve"> on Friday, the spread needs to compress and sustain near zero for the structural bullish case to move from “building” to “confirmed.” A continued widening of the spread would signal the futures market is not building urgency, capping the structural transmission thesis. Watch this number session by session.</w:t>
      </w:r>
    </w:p>
    <w:p w14:paraId="0AFF4ED7" w14:textId="77777777" w:rsidR="00C57BC4" w:rsidRDefault="00C57BC4">
      <w:pPr>
        <w:spacing w:before="40" w:after="40"/>
      </w:pPr>
    </w:p>
    <w:p w14:paraId="7F803896" w14:textId="77777777" w:rsidR="00C57BC4" w:rsidRDefault="00000000">
      <w:pPr>
        <w:spacing w:before="200" w:after="80"/>
      </w:pPr>
      <w:r>
        <w:rPr>
          <w:b/>
          <w:bCs/>
          <w:color w:val="1E3A5F"/>
          <w:sz w:val="24"/>
          <w:szCs w:val="24"/>
        </w:rPr>
        <w:t>2. Miner-Silver Ratio Behavior</w:t>
      </w:r>
    </w:p>
    <w:p w14:paraId="7507D251" w14:textId="77777777" w:rsidR="00C57BC4" w:rsidRDefault="00000000">
      <w:pPr>
        <w:spacing w:before="80" w:after="80"/>
      </w:pPr>
      <w:r>
        <w:t>With the Macro Shock exit eligible for confirmation at the start of next week, the miner-silver divergence pattern that built through Thursday and Friday becomes formally evaluable. If miners underperform silver for a third consecutive session under standard framework rules (i.e., without a new macro shock), the framework enters Day 1 or Day 2 of an official Speculative Capital alignment sequence. Miner leadership — not just parallel moves but ratio outperformance of silver — would accelerate the bullish governance case significantly. Conversely, if miners sharply outperform silver in a single cross-asset burst session, the divergence resets.</w:t>
      </w:r>
    </w:p>
    <w:p w14:paraId="481C6922" w14:textId="77777777" w:rsidR="00C57BC4" w:rsidRDefault="00C57BC4">
      <w:pPr>
        <w:spacing w:before="40" w:after="40"/>
      </w:pPr>
    </w:p>
    <w:p w14:paraId="04FA1300" w14:textId="77777777" w:rsidR="00C57BC4" w:rsidRDefault="00000000">
      <w:pPr>
        <w:spacing w:before="200" w:after="80"/>
      </w:pPr>
      <w:r>
        <w:rPr>
          <w:b/>
          <w:bCs/>
          <w:color w:val="1E3A5F"/>
          <w:sz w:val="24"/>
          <w:szCs w:val="24"/>
        </w:rPr>
        <w:t>3. GSR Stability Below 63.00</w:t>
      </w:r>
    </w:p>
    <w:p w14:paraId="08B78BB8" w14:textId="77777777" w:rsidR="00C57BC4" w:rsidRDefault="00000000">
      <w:pPr>
        <w:spacing w:before="80" w:after="80"/>
      </w:pPr>
      <w:r>
        <w:lastRenderedPageBreak/>
        <w:t>The deactivation of Disproof Condition 2 is only permanent if the GSR sustains below 63.00. A reversal back above 63.00 would reactivate the condition and re-anchor the prior bearish disproof structure. With gold near $4,750 and silver near $76, the GSR at 62.36 has approximately 0.64 points of cushion. Any session where gold meaningfully outperforms silver risks crossing back above the threshold.</w:t>
      </w:r>
    </w:p>
    <w:p w14:paraId="0477C579" w14:textId="77777777" w:rsidR="00C57BC4" w:rsidRDefault="00C57BC4">
      <w:pPr>
        <w:spacing w:before="80" w:after="80"/>
      </w:pPr>
    </w:p>
    <w:p w14:paraId="01DF6C35" w14:textId="77777777" w:rsidR="00C57BC4" w:rsidRDefault="00C57BC4">
      <w:pPr>
        <w:pBdr>
          <w:bottom w:val="single" w:sz="4" w:space="1" w:color="DBEAFE"/>
        </w:pBdr>
        <w:spacing w:before="120" w:after="120"/>
      </w:pPr>
    </w:p>
    <w:p w14:paraId="7346D809" w14:textId="77777777" w:rsidR="00C57BC4" w:rsidRDefault="00000000">
      <w:pPr>
        <w:pStyle w:val="Heading1"/>
      </w:pPr>
      <w:r>
        <w:t>Framework State Entering Next Week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83"/>
        <w:gridCol w:w="6277"/>
      </w:tblGrid>
      <w:tr w:rsidR="00C57BC4" w14:paraId="7923B7F9"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7FDAC69B" w14:textId="77777777" w:rsidR="00C57BC4" w:rsidRDefault="00000000">
            <w:r>
              <w:rPr>
                <w:b/>
                <w:bCs/>
                <w:color w:val="1E3A5F"/>
                <w:sz w:val="20"/>
                <w:szCs w:val="20"/>
              </w:rPr>
              <w:t>Dominant Layer</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7022A76" w14:textId="77777777" w:rsidR="00C57BC4" w:rsidRDefault="00000000">
            <w:r>
              <w:rPr>
                <w:sz w:val="20"/>
                <w:szCs w:val="20"/>
              </w:rPr>
              <w:t>Price Behavior</w:t>
            </w:r>
          </w:p>
        </w:tc>
      </w:tr>
      <w:tr w:rsidR="00C57BC4" w14:paraId="00E64673"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6A55B3C1" w14:textId="77777777" w:rsidR="00C57BC4" w:rsidRDefault="00000000">
            <w:r>
              <w:rPr>
                <w:b/>
                <w:bCs/>
                <w:color w:val="1E3A5F"/>
                <w:sz w:val="20"/>
                <w:szCs w:val="20"/>
              </w:rPr>
              <w:t>Directional Interpretation</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4DDED52" w14:textId="77777777" w:rsidR="00C57BC4" w:rsidRDefault="00000000">
            <w:r>
              <w:rPr>
                <w:sz w:val="20"/>
                <w:szCs w:val="20"/>
              </w:rPr>
              <w:t>Provisional Bullish (Strengthening)</w:t>
            </w:r>
          </w:p>
        </w:tc>
      </w:tr>
      <w:tr w:rsidR="00C57BC4" w14:paraId="4B571C97"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1D294D5F" w14:textId="77777777" w:rsidR="00C57BC4" w:rsidRDefault="00000000">
            <w:r>
              <w:rPr>
                <w:b/>
                <w:bCs/>
                <w:color w:val="1E3A5F"/>
                <w:sz w:val="20"/>
                <w:szCs w:val="20"/>
              </w:rPr>
              <w:t>Confidence Level</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489F3B4" w14:textId="77777777" w:rsidR="00C57BC4" w:rsidRDefault="00000000">
            <w:r>
              <w:rPr>
                <w:sz w:val="20"/>
                <w:szCs w:val="20"/>
              </w:rPr>
              <w:t>Low-to-Moderate (Improving)</w:t>
            </w:r>
          </w:p>
        </w:tc>
      </w:tr>
      <w:tr w:rsidR="00C57BC4" w14:paraId="1D06EA16"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67F0A711" w14:textId="77777777" w:rsidR="00C57BC4" w:rsidRDefault="00000000">
            <w:r>
              <w:rPr>
                <w:b/>
                <w:bCs/>
                <w:color w:val="1E3A5F"/>
                <w:sz w:val="20"/>
                <w:szCs w:val="20"/>
              </w:rPr>
              <w:t>System State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6462BB1" w14:textId="77777777" w:rsidR="00C57BC4" w:rsidRDefault="00000000">
            <w:r>
              <w:rPr>
                <w:sz w:val="20"/>
                <w:szCs w:val="20"/>
              </w:rPr>
              <w:t>Under Stress / Transition Watch</w:t>
            </w:r>
          </w:p>
        </w:tc>
      </w:tr>
      <w:tr w:rsidR="00C57BC4" w14:paraId="3A8C4E54"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2D4F1E18" w14:textId="77777777" w:rsidR="00C57BC4" w:rsidRDefault="00000000">
            <w:r>
              <w:rPr>
                <w:b/>
                <w:bCs/>
                <w:color w:val="1E3A5F"/>
                <w:sz w:val="20"/>
                <w:szCs w:val="20"/>
              </w:rPr>
              <w:t>Macro Shock</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4F4238DD" w14:textId="77777777" w:rsidR="00C57BC4" w:rsidRDefault="00000000">
            <w:r>
              <w:rPr>
                <w:sz w:val="20"/>
                <w:szCs w:val="20"/>
              </w:rPr>
              <w:t>Day 3 complete — exit confirmation pending next session</w:t>
            </w:r>
          </w:p>
        </w:tc>
      </w:tr>
      <w:tr w:rsidR="00C57BC4" w14:paraId="54BC475C"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33A5B067" w14:textId="77777777" w:rsidR="00C57BC4" w:rsidRDefault="00000000">
            <w:r>
              <w:rPr>
                <w:b/>
                <w:bCs/>
                <w:color w:val="1E3A5F"/>
                <w:sz w:val="20"/>
                <w:szCs w:val="20"/>
              </w:rPr>
              <w:t>Disproof Condition 1</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766D289F" w14:textId="77777777" w:rsidR="00C57BC4" w:rsidRDefault="00000000">
            <w:r>
              <w:rPr>
                <w:sz w:val="20"/>
                <w:szCs w:val="20"/>
              </w:rPr>
              <w:t>Active — price $76.17, threshold $79.00, gap $2.83</w:t>
            </w:r>
          </w:p>
        </w:tc>
      </w:tr>
      <w:tr w:rsidR="00C57BC4" w14:paraId="7B4ED7A9"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560A67F7" w14:textId="77777777" w:rsidR="00C57BC4" w:rsidRDefault="00000000">
            <w:r>
              <w:rPr>
                <w:b/>
                <w:bCs/>
                <w:color w:val="1E3A5F"/>
                <w:sz w:val="20"/>
                <w:szCs w:val="20"/>
              </w:rPr>
              <w:t>Disproof Condition 2</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8435CDF" w14:textId="77777777" w:rsidR="00C57BC4" w:rsidRDefault="00000000">
            <w:r>
              <w:rPr>
                <w:sz w:val="20"/>
                <w:szCs w:val="20"/>
              </w:rPr>
              <w:t>DEACTIVATED — GSR 62.36, below 63.00 threshold</w:t>
            </w:r>
          </w:p>
        </w:tc>
      </w:tr>
      <w:tr w:rsidR="00C57BC4" w14:paraId="60F948E4"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1AB469E1" w14:textId="77777777" w:rsidR="00C57BC4" w:rsidRDefault="00000000">
            <w:r>
              <w:rPr>
                <w:b/>
                <w:bCs/>
                <w:color w:val="1E3A5F"/>
                <w:sz w:val="20"/>
                <w:szCs w:val="20"/>
              </w:rPr>
              <w:t>Disproof Condition 3</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164E9D67" w14:textId="77777777" w:rsidR="00C57BC4" w:rsidRDefault="00000000">
            <w:r>
              <w:rPr>
                <w:sz w:val="20"/>
                <w:szCs w:val="20"/>
              </w:rPr>
              <w:t>Inactive (preserved for formal evaluation post-shock exit)</w:t>
            </w:r>
          </w:p>
        </w:tc>
      </w:tr>
      <w:tr w:rsidR="00C57BC4" w14:paraId="4B723D8B"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566E2FD0" w14:textId="77777777" w:rsidR="00C57BC4" w:rsidRDefault="00000000">
            <w:r>
              <w:rPr>
                <w:b/>
                <w:bCs/>
                <w:color w:val="1E3A5F"/>
                <w:sz w:val="20"/>
                <w:szCs w:val="20"/>
              </w:rPr>
              <w:t>COMEX Spread</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5C2D285C" w14:textId="77777777" w:rsidR="00C57BC4" w:rsidRDefault="00000000">
            <w:r>
              <w:rPr>
                <w:sz w:val="20"/>
                <w:szCs w:val="20"/>
              </w:rPr>
              <w:t>High-teens contango — no backwardation</w:t>
            </w:r>
          </w:p>
        </w:tc>
      </w:tr>
      <w:tr w:rsidR="00C57BC4" w14:paraId="7229DD75"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78AFDB74" w14:textId="77777777" w:rsidR="00C57BC4" w:rsidRDefault="00000000">
            <w:r>
              <w:rPr>
                <w:b/>
                <w:bCs/>
                <w:color w:val="1E3A5F"/>
                <w:sz w:val="20"/>
                <w:szCs w:val="20"/>
              </w:rPr>
              <w:t>COMEX Reg. Leverage</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0D82E8CE" w14:textId="77777777" w:rsidR="00C57BC4" w:rsidRDefault="00000000">
            <w:r>
              <w:rPr>
                <w:sz w:val="20"/>
                <w:szCs w:val="20"/>
              </w:rPr>
              <w:t>7.58x — highest in run series</w:t>
            </w:r>
          </w:p>
        </w:tc>
      </w:tr>
      <w:tr w:rsidR="00C57BC4" w14:paraId="7E0227AD" w14:textId="77777777">
        <w:tc>
          <w:tcPr>
            <w:tcW w:w="0" w:type="auto"/>
            <w:tcBorders>
              <w:top w:val="single" w:sz="1" w:space="0" w:color="CBD5E1"/>
              <w:left w:val="single" w:sz="1" w:space="0" w:color="CBD5E1"/>
              <w:bottom w:val="single" w:sz="1" w:space="0" w:color="CBD5E1"/>
              <w:right w:val="single" w:sz="1" w:space="0" w:color="CBD5E1"/>
            </w:tcBorders>
            <w:shd w:val="clear" w:color="auto" w:fill="EFF6FF"/>
            <w:tcMar>
              <w:top w:w="80" w:type="dxa"/>
              <w:left w:w="120" w:type="dxa"/>
              <w:bottom w:w="80" w:type="dxa"/>
              <w:right w:w="120" w:type="dxa"/>
            </w:tcMar>
          </w:tcPr>
          <w:p w14:paraId="4B21BB4D" w14:textId="77777777" w:rsidR="00C57BC4" w:rsidRDefault="00000000">
            <w:r>
              <w:rPr>
                <w:b/>
                <w:bCs/>
                <w:color w:val="1E3A5F"/>
                <w:sz w:val="20"/>
                <w:szCs w:val="20"/>
              </w:rPr>
              <w:t>Migration Proposed</w:t>
            </w:r>
          </w:p>
        </w:tc>
        <w:tc>
          <w:tcPr>
            <w:tcW w:w="0" w:type="auto"/>
            <w:tcBorders>
              <w:top w:val="single" w:sz="1" w:space="0" w:color="CBD5E1"/>
              <w:left w:val="single" w:sz="1" w:space="0" w:color="CBD5E1"/>
              <w:bottom w:val="single" w:sz="1" w:space="0" w:color="CBD5E1"/>
              <w:right w:val="single" w:sz="1" w:space="0" w:color="CBD5E1"/>
            </w:tcBorders>
            <w:tcMar>
              <w:top w:w="80" w:type="dxa"/>
              <w:left w:w="120" w:type="dxa"/>
              <w:bottom w:w="80" w:type="dxa"/>
              <w:right w:w="120" w:type="dxa"/>
            </w:tcMar>
          </w:tcPr>
          <w:p w14:paraId="681B6518" w14:textId="77777777" w:rsidR="00C57BC4" w:rsidRDefault="00000000">
            <w:r>
              <w:rPr>
                <w:sz w:val="20"/>
                <w:szCs w:val="20"/>
              </w:rPr>
              <w:t>None</w:t>
            </w:r>
          </w:p>
        </w:tc>
      </w:tr>
    </w:tbl>
    <w:p w14:paraId="33B90F82" w14:textId="77777777" w:rsidR="00C57BC4" w:rsidRDefault="00C57BC4">
      <w:pPr>
        <w:spacing w:before="80" w:after="80"/>
      </w:pPr>
    </w:p>
    <w:p w14:paraId="5D94CB36" w14:textId="77777777" w:rsidR="00C57BC4" w:rsidRDefault="00C57BC4">
      <w:pPr>
        <w:pBdr>
          <w:bottom w:val="single" w:sz="4" w:space="1" w:color="DBEAFE"/>
        </w:pBdr>
        <w:spacing w:before="120" w:after="120"/>
      </w:pPr>
    </w:p>
    <w:p w14:paraId="3044C06B" w14:textId="77777777" w:rsidR="00C57BC4" w:rsidRDefault="00000000">
      <w:pPr>
        <w:spacing w:before="120" w:after="40"/>
        <w:jc w:val="center"/>
      </w:pPr>
      <w:r>
        <w:rPr>
          <w:color w:val="9CA3AF"/>
          <w:sz w:val="18"/>
          <w:szCs w:val="18"/>
        </w:rPr>
        <w:t xml:space="preserve">Silver Intelligence System </w:t>
      </w:r>
      <w:proofErr w:type="gramStart"/>
      <w:r>
        <w:rPr>
          <w:color w:val="9CA3AF"/>
          <w:sz w:val="18"/>
          <w:szCs w:val="18"/>
        </w:rPr>
        <w:t>2.6  •</w:t>
      </w:r>
      <w:proofErr w:type="gramEnd"/>
      <w:r>
        <w:rPr>
          <w:color w:val="9CA3AF"/>
          <w:sz w:val="18"/>
          <w:szCs w:val="18"/>
        </w:rPr>
        <w:t xml:space="preserve">  Weekly Recap: April 6–10, </w:t>
      </w:r>
      <w:proofErr w:type="gramStart"/>
      <w:r>
        <w:rPr>
          <w:color w:val="9CA3AF"/>
          <w:sz w:val="18"/>
          <w:szCs w:val="18"/>
        </w:rPr>
        <w:t>2026  •</w:t>
      </w:r>
      <w:proofErr w:type="gramEnd"/>
      <w:r>
        <w:rPr>
          <w:color w:val="9CA3AF"/>
          <w:sz w:val="18"/>
          <w:szCs w:val="18"/>
        </w:rPr>
        <w:t xml:space="preserve">  Sessions 15–19</w:t>
      </w:r>
    </w:p>
    <w:p w14:paraId="58968EA1" w14:textId="77777777" w:rsidR="00C57BC4" w:rsidRDefault="00000000">
      <w:pPr>
        <w:jc w:val="center"/>
      </w:pPr>
      <w:r>
        <w:rPr>
          <w:color w:val="9CA3AF"/>
          <w:sz w:val="16"/>
          <w:szCs w:val="16"/>
        </w:rPr>
        <w:t xml:space="preserve">For Operator Use Only. Not for distribution. All interpretations provisional </w:t>
      </w:r>
      <w:proofErr w:type="gramStart"/>
      <w:r>
        <w:rPr>
          <w:color w:val="9CA3AF"/>
          <w:sz w:val="16"/>
          <w:szCs w:val="16"/>
        </w:rPr>
        <w:t>per</w:t>
      </w:r>
      <w:proofErr w:type="gramEnd"/>
      <w:r>
        <w:rPr>
          <w:color w:val="9CA3AF"/>
          <w:sz w:val="16"/>
          <w:szCs w:val="16"/>
        </w:rPr>
        <w:t xml:space="preserve"> SIS 2.6 framework rules.</w:t>
      </w:r>
    </w:p>
    <w:sectPr w:rsidR="00C57BC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4332D"/>
    <w:multiLevelType w:val="hybridMultilevel"/>
    <w:tmpl w:val="0DEEB7FE"/>
    <w:lvl w:ilvl="0" w:tplc="1BA26EE8">
      <w:start w:val="1"/>
      <w:numFmt w:val="bullet"/>
      <w:lvlText w:val="●"/>
      <w:lvlJc w:val="left"/>
      <w:pPr>
        <w:ind w:left="720" w:hanging="360"/>
      </w:pPr>
    </w:lvl>
    <w:lvl w:ilvl="1" w:tplc="48CE81A6">
      <w:start w:val="1"/>
      <w:numFmt w:val="bullet"/>
      <w:lvlText w:val="○"/>
      <w:lvlJc w:val="left"/>
      <w:pPr>
        <w:ind w:left="1440" w:hanging="360"/>
      </w:pPr>
    </w:lvl>
    <w:lvl w:ilvl="2" w:tplc="2D1CD920">
      <w:start w:val="1"/>
      <w:numFmt w:val="bullet"/>
      <w:lvlText w:val="■"/>
      <w:lvlJc w:val="left"/>
      <w:pPr>
        <w:ind w:left="2160" w:hanging="360"/>
      </w:pPr>
    </w:lvl>
    <w:lvl w:ilvl="3" w:tplc="2D047BA2">
      <w:start w:val="1"/>
      <w:numFmt w:val="bullet"/>
      <w:lvlText w:val="●"/>
      <w:lvlJc w:val="left"/>
      <w:pPr>
        <w:ind w:left="2880" w:hanging="360"/>
      </w:pPr>
    </w:lvl>
    <w:lvl w:ilvl="4" w:tplc="82544E64">
      <w:start w:val="1"/>
      <w:numFmt w:val="bullet"/>
      <w:lvlText w:val="○"/>
      <w:lvlJc w:val="left"/>
      <w:pPr>
        <w:ind w:left="3600" w:hanging="360"/>
      </w:pPr>
    </w:lvl>
    <w:lvl w:ilvl="5" w:tplc="B03ED060">
      <w:start w:val="1"/>
      <w:numFmt w:val="bullet"/>
      <w:lvlText w:val="■"/>
      <w:lvlJc w:val="left"/>
      <w:pPr>
        <w:ind w:left="4320" w:hanging="360"/>
      </w:pPr>
    </w:lvl>
    <w:lvl w:ilvl="6" w:tplc="A874E8DA">
      <w:start w:val="1"/>
      <w:numFmt w:val="bullet"/>
      <w:lvlText w:val="●"/>
      <w:lvlJc w:val="left"/>
      <w:pPr>
        <w:ind w:left="5040" w:hanging="360"/>
      </w:pPr>
    </w:lvl>
    <w:lvl w:ilvl="7" w:tplc="9F588D52">
      <w:start w:val="1"/>
      <w:numFmt w:val="bullet"/>
      <w:lvlText w:val="●"/>
      <w:lvlJc w:val="left"/>
      <w:pPr>
        <w:ind w:left="5760" w:hanging="360"/>
      </w:pPr>
    </w:lvl>
    <w:lvl w:ilvl="8" w:tplc="0144EB24">
      <w:start w:val="1"/>
      <w:numFmt w:val="bullet"/>
      <w:lvlText w:val="●"/>
      <w:lvlJc w:val="left"/>
      <w:pPr>
        <w:ind w:left="6480" w:hanging="360"/>
      </w:pPr>
    </w:lvl>
  </w:abstractNum>
  <w:num w:numId="1" w16cid:durableId="1372921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BC4"/>
    <w:rsid w:val="003D6AFA"/>
    <w:rsid w:val="004A785B"/>
    <w:rsid w:val="00C57BC4"/>
    <w:rsid w:val="00F5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E864"/>
  <w15:docId w15:val="{7216EBD4-F7B4-466D-AB1A-EAD23278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11827"/>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E3A5F"/>
      <w:sz w:val="32"/>
      <w:szCs w:val="32"/>
    </w:rPr>
  </w:style>
  <w:style w:type="paragraph" w:styleId="Heading2">
    <w:name w:val="heading 2"/>
    <w:uiPriority w:val="9"/>
    <w:unhideWhenUsed/>
    <w:qFormat/>
    <w:pPr>
      <w:spacing w:before="240" w:after="100"/>
      <w:outlineLvl w:val="1"/>
    </w:pPr>
    <w:rPr>
      <w:b/>
      <w:bCs/>
      <w:color w:val="2563E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font-claude-response-body">
    <w:name w:val="font-claude-response-body"/>
    <w:basedOn w:val="Normal"/>
    <w:rsid w:val="004A785B"/>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4A785B"/>
    <w:rPr>
      <w:i/>
      <w:iCs/>
    </w:rPr>
  </w:style>
  <w:style w:type="character" w:styleId="Strong">
    <w:name w:val="Strong"/>
    <w:basedOn w:val="DefaultParagraphFont"/>
    <w:uiPriority w:val="22"/>
    <w:qFormat/>
    <w:rsid w:val="004A78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2785</Words>
  <Characters>15877</Characters>
  <Application>Microsoft Office Word</Application>
  <DocSecurity>0</DocSecurity>
  <Lines>132</Lines>
  <Paragraphs>37</Paragraphs>
  <ScaleCrop>false</ScaleCrop>
  <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todd finestone</cp:lastModifiedBy>
  <cp:revision>3</cp:revision>
  <dcterms:created xsi:type="dcterms:W3CDTF">2026-04-12T00:57:00Z</dcterms:created>
  <dcterms:modified xsi:type="dcterms:W3CDTF">2026-04-12T20:07:00Z</dcterms:modified>
</cp:coreProperties>
</file>